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Pediatric Trauma Case Studies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April 16, 2025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The presentation will cover a variety of trauma topics and discussion proper interventions and treatment plans.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1 Understand how a pediatric assessment is different from an adult trauma assessments. </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Explain common injuries found in pediatric trauma patients.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Understanding the course of pediatric trauma care from beginning to time of discharged.</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Critical Care Medicine, Ems (Pre-Hospital), Trauma</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Critical Care Medicine, Ems (Pre-Hospital), Trauma</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Critical Care Medicine, Ems (Pre-Hospital), Trauma</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379405561"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760133722"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137161641"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638532"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2135792684"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1552"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Brett W Engbrecht,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