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PMCH Pediatric Specialty Lecture Series</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February 7, 2023 — 7:00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pPr>
        <w:bidi w:val="0"/>
        <w:spacing w:after="280" w:afterAutospacing="1"/>
        <w:rPr>
          <w:rFonts w:ascii="Calibri Light" w:hAnsi="Calibri Light" w:cs="Calibri Light"/>
          <w:sz w:val="20"/>
          <w:szCs w:val="20"/>
        </w:rPr>
      </w:pPr>
      <w:r>
        <w:rPr>
          <w:rtl w:val="0"/>
        </w:rPr>
        <w:t>A pediatric specialist will provide important information to attendees to increase their knowledge of a condition/topic if they should come across it in the pediatric population. Attendees will have a better understand these conditions, treatment options, and when to include a pediatric specialist in the treatment team.</w:t>
      </w:r>
      <w:r>
        <w:rPr>
          <w:rtl w:val="0"/>
        </w:rPr>
        <w:fldChar w:fldCharType="begin"/>
      </w:r>
      <w:r>
        <w:rPr>
          <w:rtl w:val="0"/>
        </w:rPr>
        <w:instrText xml:space="preserve"> HYPERLINK "https://ascension-ce-cme.cloud-cme.com/assets/ascension-ce-cme/pdf/Information%20to%20join%20PMCH%20Pediatric%20Specialty%20Lecture%20Series.pdf" </w:instrText>
      </w:r>
      <w:r>
        <w:rPr>
          <w:rtl w:val="0"/>
        </w:rPr>
        <w:fldChar w:fldCharType="separate"/>
      </w:r>
    </w:p>
    <w:p>
      <w:pPr>
        <w:bidi w:val="0"/>
        <w:spacing w:after="280" w:afterAutospacing="1"/>
        <w:rPr>
          <w:color w:val="0000FF"/>
          <w:u w:val="single"/>
          <w:rtl w:val="0"/>
        </w:rPr>
      </w:pPr>
      <w:r>
        <w:rPr>
          <w:color w:val="0000FF"/>
          <w:u w:val="single"/>
          <w:rtl w:val="0"/>
        </w:rPr>
        <w:t>Information to join PMCH Pediatric Specialty Lecture Series.pdf</w:t>
      </w:r>
      <w:r>
        <w:rPr>
          <w:rtl w:val="0"/>
        </w:rPr>
        <w:fldChar w:fldCharType="end"/>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Discuss the pathophysiology of physiologic impact of the condition/topic presented.</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Identify care improvement strategies related to the condition/topic presented</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Provide early recognition of the need for specialty consultation and involvement for the condition/topic presented.</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Pediatrics</w:instrText>
      </w:r>
      <w:r>
        <w:rPr>
          <w:rFonts w:asciiTheme="majorHAnsi" w:hAnsiTheme="majorHAnsi" w:cstheme="majorHAnsi"/>
          <w:sz w:val="20"/>
          <w:szCs w:val="20"/>
        </w:rPr>
        <w:instrText xml:space="preserve"> &lt;&gt; "" "</w:instrText>
      </w:r>
    </w:p>
    <w:p w:rsidR="006D2097"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Pediatrics</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Pediatrics</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Non-Physician, Psychologists, Nurse, Advanced Practice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6D2097"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Non-Physician, Psychologists, Nurse, Advanced Practice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Non-Physician, Psychologists, Nurse, Advanced Practice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77137D"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91440" simplePos="0" relativeHeight="251658240" behindDoc="1" locked="1" layoutInCell="1" allowOverlap="0">
            <wp:simplePos x="0" y="0"/>
            <wp:positionH relativeFrom="column">
              <wp:posOffset>0</wp:posOffset>
            </wp:positionH>
            <wp:positionV relativeFrom="paragraph">
              <wp:posOffset>53340</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6D2097">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77137D" w:rsidP="00EB3966">
      <w:pPr>
        <w:pStyle w:val="NormalWeb"/>
        <w:spacing w:before="0" w:beforeAutospacing="0" w:after="0" w:afterAutospacing="0"/>
        <w:contextualSpacing/>
        <w:rPr>
          <w:rFonts w:asciiTheme="majorHAnsi" w:hAnsiTheme="majorHAnsi" w:cstheme="majorHAnsi"/>
          <w:sz w:val="16"/>
          <w:szCs w:val="16"/>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Pr>
          <w:rFonts w:asciiTheme="majorHAnsi" w:hAnsiTheme="majorHAnsi" w:cstheme="majorHAnsi"/>
          <w:noProof/>
          <w:sz w:val="16"/>
          <w:szCs w:val="16"/>
        </w:rPr>
        <w:drawing>
          <wp:anchor distT="0" distB="0" distL="114300" distR="114300" simplePos="0" relativeHeight="251671552" behindDoc="0" locked="0" layoutInCell="1" allowOverlap="1">
            <wp:simplePos x="0" y="0"/>
            <wp:positionH relativeFrom="column">
              <wp:posOffset>19050</wp:posOffset>
            </wp:positionH>
            <wp:positionV relativeFrom="paragraph">
              <wp:posOffset>12065</wp:posOffset>
            </wp:positionV>
            <wp:extent cx="941832" cy="402336"/>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6">
                      <a:extLst>
                        <a:ext uri="{28A0092B-C50C-407E-A947-70E740481C1C}">
                          <a14:useLocalDpi xmlns:a14="http://schemas.microsoft.com/office/drawing/2010/main" val="0"/>
                        </a:ext>
                      </a:extLst>
                    </a:blip>
                    <a:stretch>
                      <a:fillRect/>
                    </a:stretch>
                  </pic:blipFill>
                  <pic:spPr>
                    <a:xfrm>
                      <a:off x="0" y="0"/>
                      <a:ext cx="941832" cy="402336"/>
                    </a:xfrm>
                    <a:prstGeom prst="rect">
                      <a:avLst/>
                    </a:prstGeom>
                  </pic:spPr>
                </pic:pic>
              </a:graphicData>
            </a:graphic>
          </wp:anchor>
        </w:drawing>
      </w:r>
      <w:r w:rsidRPr="00022247" w:rsidR="00022247">
        <w:rPr>
          <w:rFonts w:asciiTheme="majorHAnsi" w:hAnsiTheme="majorHAnsi" w:cstheme="majorHAnsi"/>
          <w:sz w:val="16"/>
          <w:szCs w:val="16"/>
        </w:rPr>
        <w:instrText>Genesys Regional Medical Center (GRMC) is accredited by the American Osteopathic Association to provide osteopathic continuing medical education for physicians.</w:instrText>
      </w:r>
      <w:r w:rsidR="00022247">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16376961"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658621452"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9"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440428699"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9"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0">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2836AF">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811645742"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continuing education credits.</w:t>
      </w:r>
    </w:p>
    <w:p w:rsidR="004914A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022247" w:rsidR="004914AA">
        <w:rPr>
          <w:rFonts w:asciiTheme="majorHAnsi" w:hAnsiTheme="majorHAnsi" w:cstheme="majorHAnsi"/>
          <w:sz w:val="16"/>
          <w:szCs w:val="16"/>
        </w:rPr>
        <w:fldChar w:fldCharType="begin"/>
      </w:r>
      <w:r w:rsidRPr="00022247" w:rsidR="004914AA">
        <w:rPr>
          <w:rFonts w:asciiTheme="majorHAnsi" w:hAnsiTheme="majorHAnsi" w:cstheme="majorHAnsi"/>
          <w:sz w:val="16"/>
          <w:szCs w:val="16"/>
        </w:rPr>
        <w:instrText xml:space="preserve"> IF </w:instrText>
      </w:r>
      <w:r w:rsidRPr="00022247" w:rsidR="004914AA">
        <w:rPr>
          <w:rFonts w:asciiTheme="majorHAnsi" w:hAnsiTheme="majorHAnsi" w:cstheme="majorHAnsi"/>
          <w:sz w:val="16"/>
          <w:szCs w:val="16"/>
        </w:rPr>
        <w:instrText>1.00</w:instrText>
      </w:r>
      <w:r w:rsidRPr="00022247" w:rsidR="004914AA">
        <w:rPr>
          <w:rFonts w:asciiTheme="majorHAnsi" w:hAnsiTheme="majorHAnsi" w:cstheme="majorHAnsi"/>
          <w:sz w:val="16"/>
          <w:szCs w:val="16"/>
        </w:rPr>
        <w:instrText xml:space="preserve"> &gt; 0 "</w:instrText>
      </w:r>
      <w:r w:rsidRPr="00022247" w:rsidR="004914AA">
        <w:rPr>
          <w:rFonts w:asciiTheme="majorHAnsi" w:hAnsiTheme="majorHAnsi" w:cstheme="majorHAnsi"/>
          <w:noProof/>
          <w:sz w:val="16"/>
          <w:szCs w:val="16"/>
        </w:rPr>
        <w:drawing>
          <wp:anchor distT="0" distB="0" distL="0" distR="27305" simplePos="0" relativeHeight="251669504"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sidR="004914AA">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4914AA" w:rsidRPr="00B73875" w:rsidP="00B73875">
      <w:pPr>
        <w:contextualSpacing/>
        <w:rPr>
          <w:rFonts w:eastAsia="Cambria"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noProof/>
          <w:sz w:val="16"/>
          <w:szCs w:val="16"/>
        </w:rPr>
        <w:drawing>
          <wp:anchor distT="0" distB="0" distL="0" distR="27305" simplePos="0" relativeHeight="251670528"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338129167"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Pr>
          <w:rFonts w:asciiTheme="majorHAnsi" w:hAnsiTheme="majorHAnsi" w:cstheme="majorHAnsi"/>
          <w:sz w:val="16"/>
          <w:szCs w:val="16"/>
        </w:rPr>
        <w:t>Continuing Education (CE) credits for psychologists are provided through the co-sponsorship of the American Psychological Association (APA) Office of Continuing Education in Psychology (CEP). The APA CEP Office maintains responsibility for the content of the programs.</w: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Pr="00022247" w:rsidP="00B73875">
      <w:pPr>
        <w:contextualSpacing/>
        <w:rPr>
          <w:rFonts w:asciiTheme="majorHAnsi" w:hAnsiTheme="majorHAnsi" w:cstheme="majorHAnsi"/>
          <w:sz w:val="16"/>
          <w:szCs w:val="16"/>
        </w:rPr>
      </w:pP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"GRMC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Tiffany Horn, Ed.D.,MHA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Valarie Millard-Combs, MS, RRT, Kappa Delta Pi Honor Society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Allied Health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Sally Stroud,, 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Maria Del Rio,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Sandy Bowersox,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Psychologist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Katherine Kemmerlin, LCSW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Social Work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- 09/13/2022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6D2097">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jpeg" /><Relationship Id="rId8" Type="http://schemas.openxmlformats.org/officeDocument/2006/relationships/image" Target="media/image5.png" /><Relationship Id="rId9"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Bogner, Mark</cp:lastModifiedBy>
  <cp:revision>6</cp:revision>
  <dcterms:created xsi:type="dcterms:W3CDTF">2022-01-05T19:36:00Z</dcterms:created>
  <dcterms:modified xsi:type="dcterms:W3CDTF">2022-09-29T18:08:00Z</dcterms:modified>
</cp:coreProperties>
</file>