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Age Friendly Care:  Looking to the Future with the 4M's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March 10, 2023 — 8:00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headerReference w:type="even" r:id="rId5"/>
          <w:headerReference w:type="default" r:id="rId6"/>
          <w:footerReference w:type="even" r:id="rId7"/>
          <w:footerReference w:type="default" r:id="rId8"/>
          <w:headerReference w:type="first" r:id="rId9"/>
          <w:footerReference w:type="first" r:id="rId10"/>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As our population ages, and as the concept of Age-Friendly care is becoming more mainstream, we continue to look for ways in which to infuse the 4M's (What Matters, Medication, Mentation, and Mobility) into the way we care for our older adult population. The Center for Healthy Aging's 34th annual Conference on Aging will focus on varying aging problems, issues, and concerns, as we apply the 4M's to the topics of the day. We will discuss medical and MEDICATION issues such as new classes of medications for diabetes and heart failure and their role in older adults. We will review the importance of MOBILITY and how to address a fear of falling. We will cover MENTATION as we learn more about the impact of hearing loss on cognition, and also will provide an update on the state of dementia research. We will examine WHAT MATTERS in relation to social determinants of healthy, diversity, and how to incorporate our patients' priorities into their care. This conference is meant to enhance the knowledge base and skills of physicians, nurses, pharmacists, psychologists, nurse practitioners, physician assistants, dietitians, allied health and rehabilitation therapists, social workers, health facility administrators, and other interested health care professionals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Jennifer Oulette: Discuss tools to identify what matters most to patients, including individual patient values, specific and meaningful health outcome goals, and healthcare preferences.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Loren Weber: Complete an assessment of the geriatric surgical patient, identify positive domains on screening for further follow-up, and manage medications in pre and post-operative setting to minimize delirium.</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Stephen Harrison: Demonstrate how Ascension Living PACE is integrating the principles of Age Friendly Care into its program.</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Vanessa Convard: Discuss the Adult Protective Process in Indiana, what we can and can't do, when to call, and who to call.</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Andrew Ratcliff: Identify the federal law enforcement agencies responsible for investigating Medicare and Medicaid fraud and and discuss continued problem areas within these programs.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Concetta Forchetti: Inform the audience about recent advancement in clinical research and options for clinical treatment in Alzheimer's Disease.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6 Jill Dubois-Bousamra and Sherita Townsend:  Inform caregivers of available technology that will help support them while caring for their loved one with dementia or mild cognitive impairments.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7 Lynn Collins: Recognize how far we have come in hospice care and learn common myths about the dying process.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8 Kent Berry: The audience will increase their knowledge of the relationship between hearing loss and the onset of neurocognitive disorders, including proposed causal mechanisms of action.</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9 Cathryn Luckoski:  Discuss  ''What Matters'' in the choices that individuals can make related to hearing healthcare.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10 Nicole Slaten: Recognize unique health challenges faced by LGBTQ older adults.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11 Alex Steward: Inform audience on how physical therapy addresses falls and fear of falling in older adults.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12 Danielle Davis: Discuss UTI's in older adult women, including identification, treatment, asymptomatic bacteriuria, and prevention.</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13 Staci Hollar: Learn about the implications of cognitive impairment on management and outcomes in congestive heart failure.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14 Olivia Cracker: Identify monitoring considerations for safe use of SGLT2 inhibitors in older adults.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F116F"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Non-Physician, Psychologists, Pharmacist, Nurse, Social Workers, Pharmacy Technician, Student, Advanced Practice Nurse, Other</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F116F"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Non-Physician, Psychologists, Pharmacist, Nurse, Social Workers, Pharmacy Technician, Student, Advanced Practice Nurse, Other</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Non-Physician, Psychologists, Pharmacist, Nurse, Social Workers, Pharmacy Technician, Student, Advanced Practice Nurse, Other</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77137D"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F116F">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77137D" w:rsidP="00EB3966">
      <w:pPr>
        <w:pStyle w:val="NormalWeb"/>
        <w:spacing w:before="0" w:beforeAutospacing="0" w:after="0" w:afterAutospacing="0"/>
        <w:contextualSpacing/>
        <w:rPr>
          <w:rFonts w:asciiTheme="majorHAnsi" w:hAnsiTheme="majorHAnsi" w:cstheme="majorHAnsi"/>
          <w:sz w:val="16"/>
          <w:szCs w:val="16"/>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sidR="00287AAA">
        <w:rPr>
          <w:rFonts w:asciiTheme="majorHAnsi" w:hAnsiTheme="majorHAnsi" w:cstheme="majorHAnsi"/>
          <w:sz w:val="16"/>
          <w:szCs w:val="16"/>
        </w:rPr>
        <w:instrText>The Ascension Genesys Hospital</w:instrText>
      </w:r>
      <w:r w:rsidRPr="00022247" w:rsid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sidR="00022247">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924982919"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6.00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15152460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6.00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6.00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6.00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490161071"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6.00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6.00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6.00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879821885"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6.00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F116F">
        <w:rPr>
          <w:rFonts w:asciiTheme="majorHAnsi" w:hAnsiTheme="majorHAnsi" w:cstheme="majorHAnsi"/>
          <w:noProof/>
          <w:sz w:val="16"/>
          <w:szCs w:val="16"/>
        </w:rPr>
        <w:instrText>6.00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6.00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271431465"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6.00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6.00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4914AA" w:rsidRPr="00B73875" w:rsidP="00B73875">
      <w:pPr>
        <w:contextualSpacing/>
        <w:rPr>
          <w:rFonts w:eastAsia="Cambria"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310120155"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Pr="00022247" w:rsidP="00B73875">
      <w:pPr>
        <w:contextualSpacing/>
        <w:rPr>
          <w:rFonts w:asciiTheme="majorHAnsi" w:hAnsiTheme="majorHAnsi" w:cstheme="majorHAnsi"/>
          <w:sz w:val="16"/>
          <w:szCs w:val="16"/>
        </w:rPr>
      </w:pP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w:instrText>
      </w:r>
      <w:r w:rsidR="007F116F">
        <w:rPr>
          <w:rFonts w:eastAsia="Cambria" w:asciiTheme="majorHAnsi" w:hAnsiTheme="majorHAnsi" w:cstheme="majorHAnsi"/>
          <w:sz w:val="16"/>
          <w:szCs w:val="16"/>
        </w:rPr>
        <w:instrText>The Ascension Genesys Hospital</w:instrText>
      </w:r>
      <w:r w:rsidRPr="00022247" w:rsidR="00022247">
        <w:rPr>
          <w:rFonts w:eastAsia="Cambria" w:asciiTheme="majorHAnsi" w:hAnsiTheme="majorHAnsi" w:cstheme="majorHAnsi"/>
          <w:sz w:val="16"/>
          <w:szCs w:val="16"/>
        </w:rPr>
        <w:instrText xml:space="preserve">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Hendershot,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Valarie Millard-Combs, MS, RRT, Kappa Delta Pi Honor Society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Allied Health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Loren Weber,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Lynn Collins,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Employment-Work PRN as an NP for Guardian Angel Hospice - 01/04/2023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Vanessa Convard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Olivia Craker,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Davis,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Dubois-Bousamra,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Concetta M Forchetti, MD, PhD,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Fee-Eisai, Inc. (Relationship has ended)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Harrison,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Cathryn Luckoski,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Ouellet,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Ratcliff, Master of Science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Alexandria Steward, 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Sherita Townsend, RN, case manager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Staci Hollar,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Slaten,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Kent Berry, Ph.D, HSPP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Psychologist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Victoria D Carr,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Suzanne M Buchanan, BSN,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Ellen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Staschke,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Kacey West,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Cheryl Warriner, LCSW, CSW-G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- 01/04/2023</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F116F">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Browne, Tyler</cp:lastModifiedBy>
  <cp:revision>2</cp:revision>
  <dcterms:created xsi:type="dcterms:W3CDTF">2023-01-23T19:32:00Z</dcterms:created>
  <dcterms:modified xsi:type="dcterms:W3CDTF">2023-01-23T19:32:00Z</dcterms:modified>
</cp:coreProperties>
</file>