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Resiliency Training (MI)</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March 17, 2023 — 9:00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color w:val="FF0000"/>
          <w:rtl w:val="0"/>
        </w:rPr>
        <w:t>This session is for Ascension Michigan associates only.</w:t>
      </w:r>
    </w:p>
    <w:p>
      <w:pPr>
        <w:bidi w:val="0"/>
        <w:spacing w:after="280" w:afterAutospacing="1"/>
        <w:rPr>
          <w:rtl w:val="0"/>
        </w:rPr>
      </w:pPr>
      <w:r>
        <w:rPr>
          <w:rtl w:val="0"/>
        </w:rPr>
        <w:t>This 6-hour curriculum overviews the concepts and skills of resiliency to help people better regulate their emotions and lead happier, more connected lives. The program is tailored to the specific needs of health care workers and we provide examples of how they can apply the skills they learn in our course in their day-to-day jobs. There is a documented need to help professionals prevent and cope with the emotional exhaustion of working with ill-patients in a fast-paced health care system so they choose to remain in their professions. Health care professionals with high levels of well-being should provide higher quality care and be less likely to leave their profession.</w:t>
      </w:r>
    </w:p>
    <w:p>
      <w:pPr>
        <w:bidi w:val="0"/>
        <w:spacing w:after="280" w:afterAutospacing="1"/>
        <w:rPr>
          <w:rtl w:val="0"/>
        </w:rPr>
      </w:pPr>
      <w:r>
        <w:rPr>
          <w:rtl w:val="0"/>
        </w:rPr>
        <w:t>Location:</w:t>
      </w:r>
    </w:p>
    <w:p>
      <w:pPr>
        <w:bidi w:val="0"/>
        <w:spacing w:after="280" w:afterAutospacing="1"/>
        <w:rPr>
          <w:rtl w:val="0"/>
        </w:rPr>
      </w:pPr>
      <w:r>
        <w:rPr>
          <w:rtl w:val="0"/>
        </w:rPr>
        <w:t>Ascension Genesys Hospital</w:t>
      </w:r>
      <w:r>
        <w:rPr>
          <w:rtl w:val="0"/>
        </w:rPr>
        <w:br/>
      </w:r>
      <w:r>
        <w:rPr>
          <w:rtl w:val="0"/>
        </w:rPr>
        <w:t>One Genesys Parkway; Grand Blanc, MI 48439.  Room G599 (across from the cafeteria).</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Participants will be able to describe the main components of resiliency  and how they may be integrated into their role as healthcare professionals.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Participants will be able to explain the difference between empathy and compassion and utilize strategies to avoid emotional exhaustion.</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Participants will be able to demonstrate strategies they can use on the job to regulate their difficult emotions while caring for others in pain.</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Physician Assistant, Psychologists, Pharmacist, Nurse, Social Workers, Pharmacy Technician, Chaplain, Advanced Practice Nurse, Other</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Physician Assistant, Psychologists, Pharmacist, Nurse, Social Workers, Pharmacy Technician, Chaplain, Advanced Practice Nurse, Other</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Physician Assistant, Psychologists, Pharmacist, Nurse, Social Workers, Pharmacy Technician, Chaplain, Advanced Practice Nurse, Other</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3600"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6.00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6.00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51429327"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6.00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6.00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6.00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4839757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6.00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6.00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6.00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987375935"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6.00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6.00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6.00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563995578"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6.00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6.00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6.00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218033343"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6.00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6.00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6.00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722682636"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6.00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6.00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71552"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noProof/>
          <w:sz w:val="16"/>
          <w:szCs w:val="16"/>
        </w:rPr>
        <w:drawing>
          <wp:anchor distT="0" distB="0" distL="0" distR="27305" simplePos="0" relativeHeight="251672576"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3039219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B73875">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Tommi Reel,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Phoebe Long,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Krista L Gregory, M.Div., Board Certified Chaplain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Debra Hollander,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Heather Kirkpatrick, Ph.D., Psychologist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Marissa Knox,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Jamie A Moore, MSN, Certified Pediatric Nurse Practitioner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Cronin, MPAS,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Thanhhao Ngo, PharmD, BCPPS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etc.-Blue Cross Blue Shield of Texas, Mediaid Advisory Committee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Tory Meyer, MD, surgeon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Puja Patel,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Psychologist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Glock, MSW,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