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Neuroscience Grand Rounds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July 11, 2023 — 6:30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headerReference w:type="even" r:id="rId5"/>
          <w:headerReference w:type="default" r:id="rId6"/>
          <w:footerReference w:type="even" r:id="rId7"/>
          <w:footerReference w:type="default" r:id="rId8"/>
          <w:headerReference w:type="first" r:id="rId9"/>
          <w:footerReference w:type="first" r:id="rId10"/>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pPr>
        <w:bidi w:val="0"/>
        <w:spacing w:after="280" w:afterAutospacing="1"/>
        <w:rPr>
          <w:rFonts w:ascii="Calibri Light" w:hAnsi="Calibri Light" w:cs="Calibri Light"/>
          <w:sz w:val="20"/>
          <w:szCs w:val="20"/>
        </w:rPr>
      </w:pPr>
      <w:r>
        <w:rPr>
          <w:rtl w:val="0"/>
        </w:rPr>
        <w:fldChar w:fldCharType="begin"/>
      </w:r>
      <w:r>
        <w:rPr>
          <w:rtl w:val="0"/>
        </w:rPr>
        <w:instrText xml:space="preserve"> HYPERLINK "https://ascension-ce-cme.cloud-cme.com/assets/ascension-ce-cme/pdf/Neuroscience%20Grand%20Rounds%20Zoom%20Link%20(1).pdf" </w:instrText>
      </w:r>
      <w:r>
        <w:rPr>
          <w:rtl w:val="0"/>
        </w:rPr>
        <w:fldChar w:fldCharType="separate"/>
      </w:r>
      <w:r>
        <w:rPr>
          <w:color w:val="0000FF"/>
          <w:sz w:val="24"/>
          <w:szCs w:val="24"/>
          <w:u w:val="single"/>
          <w:shd w:val="clear" w:color="auto" w:fill="FFFFFF"/>
          <w:rtl w:val="0"/>
        </w:rPr>
        <w:t>Neuroscience Grand Rounds Zoom Link (1).pdf</w:t>
      </w:r>
      <w:r>
        <w:rPr>
          <w:rtl w:val="0"/>
        </w:rPr>
        <w:fldChar w:fldCharType="end"/>
      </w:r>
    </w:p>
    <w:p>
      <w:pPr>
        <w:bidi w:val="0"/>
        <w:spacing w:after="280" w:afterAutospacing="1"/>
        <w:rPr>
          <w:rtl w:val="0"/>
        </w:rPr>
      </w:pPr>
      <w:r>
        <w:rPr>
          <w:rtl w:val="0"/>
        </w:rPr>
        <w:fldChar w:fldCharType="begin"/>
      </w:r>
      <w:r>
        <w:rPr>
          <w:rtl w:val="0"/>
        </w:rPr>
        <w:instrText xml:space="preserve"> HYPERLINK "https://ascension-ce-cme.cloud-cme.com/assets/ascension-ce-cme/pdf/Neuroscience%20Grand%20Rounds%20Zoom%20Link%20(1).pdf" </w:instrText>
      </w:r>
      <w:r>
        <w:rPr>
          <w:rtl w:val="0"/>
        </w:rPr>
        <w:fldChar w:fldCharType="separate"/>
      </w:r>
      <w:r>
        <w:rPr>
          <w:color w:val="0000FF"/>
          <w:u w:val="single"/>
          <w:rtl w:val="0"/>
        </w:rPr>
        <w:t> </w:t>
      </w:r>
      <w:r>
        <w:rPr>
          <w:rtl w:val="0"/>
        </w:rPr>
        <w:fldChar w:fldCharType="end"/>
      </w:r>
      <w:r>
        <w:rPr>
          <w:rtl w:val="0"/>
        </w:rPr>
        <w:t>Neuroscience is evolving rapidly with new research, evidenced based practice guidelines and new technology. The physicians that are part of the neuroscience service line are involved heavily in research and on the leading edge of new evidence practice guidelines, technology and medical devices. In order to keep our medical teams that serve and care for our neuro patients, it is important that we update other providers about the most up to date research and technologies available on a routine basis to augment the care of these complex patients.</w:t>
      </w:r>
    </w:p>
    <w:p w:rsidRPr="00BB598D">
      <w:pPr>
        <w:bidi w:val="0"/>
        <w:spacing w:after="280" w:afterAutospacing="1"/>
        <w:rPr>
          <w:rFonts w:ascii="Calibri Light" w:hAnsi="Calibri Light" w:cs="Calibri Light"/>
          <w:sz w:val="20"/>
          <w:szCs w:val="20"/>
        </w:rPr>
      </w:pP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Discuss the pathophysiology and/or Psychosocial  impact of the condition/topic presented.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Identify care improvement strategies related to the condition/topic presented.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Review peer reviewed literature related to the condition/topic presented.</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Neurosurgery</w:instrText>
      </w:r>
      <w:r>
        <w:rPr>
          <w:rFonts w:asciiTheme="majorHAnsi" w:hAnsiTheme="majorHAnsi" w:cstheme="majorHAnsi"/>
          <w:sz w:val="20"/>
          <w:szCs w:val="20"/>
        </w:rPr>
        <w:instrText xml:space="preserve"> &lt;&gt; "" "</w:instrText>
      </w:r>
    </w:p>
    <w:p w:rsidR="00FD6352"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Neurosurgery</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Neurosurgery</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Non-Physician, Physician Assistant, Pharmacist, Nurse, Social Workers, Pharmacy Technician, Advanced Practice Nurse, Other</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FD6352"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Non-Physician, Physician Assistant, Pharmacist, Nurse, Social Workers, Pharmacy Technician, Advanced Practice Nurse, Other</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Non-Physician, Physician Assistant, Pharmacist, Nurse, Social Workers, Pharmacy Technician, Advanced Practice Nurse, Other</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77137D"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91440" simplePos="0" relativeHeight="251658240" behindDoc="1" locked="1" layoutInCell="1" allowOverlap="0">
            <wp:simplePos x="0" y="0"/>
            <wp:positionH relativeFrom="column">
              <wp:posOffset>0</wp:posOffset>
            </wp:positionH>
            <wp:positionV relativeFrom="paragraph">
              <wp:posOffset>53340</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FD6352">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77137D" w:rsidP="00EB3966">
      <w:pPr>
        <w:pStyle w:val="NormalWeb"/>
        <w:spacing w:before="0" w:beforeAutospacing="0" w:after="0" w:afterAutospacing="0"/>
        <w:contextualSpacing/>
        <w:rPr>
          <w:rFonts w:asciiTheme="majorHAnsi" w:hAnsiTheme="majorHAnsi" w:cstheme="majorHAnsi"/>
          <w:sz w:val="16"/>
          <w:szCs w:val="16"/>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Pr>
          <w:rFonts w:asciiTheme="majorHAnsi" w:hAnsiTheme="majorHAnsi" w:cstheme="majorHAnsi"/>
          <w:noProof/>
          <w:sz w:val="16"/>
          <w:szCs w:val="16"/>
        </w:rPr>
        <w:drawing>
          <wp:anchor distT="0" distB="0" distL="114300" distR="114300" simplePos="0" relativeHeight="251672576" behindDoc="0" locked="0" layoutInCell="1" allowOverlap="1">
            <wp:simplePos x="0" y="0"/>
            <wp:positionH relativeFrom="column">
              <wp:posOffset>19050</wp:posOffset>
            </wp:positionH>
            <wp:positionV relativeFrom="paragraph">
              <wp:posOffset>12065</wp:posOffset>
            </wp:positionV>
            <wp:extent cx="941832" cy="402336"/>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941832" cy="402336"/>
                    </a:xfrm>
                    <a:prstGeom prst="rect">
                      <a:avLst/>
                    </a:prstGeom>
                  </pic:spPr>
                </pic:pic>
              </a:graphicData>
            </a:graphic>
          </wp:anchor>
        </w:drawing>
      </w:r>
      <w:r w:rsidR="00287AAA">
        <w:rPr>
          <w:rFonts w:asciiTheme="majorHAnsi" w:hAnsiTheme="majorHAnsi" w:cstheme="majorHAnsi"/>
          <w:sz w:val="16"/>
          <w:szCs w:val="16"/>
        </w:rPr>
        <w:instrText>The Ascension Genesys Hospital</w:instrText>
      </w:r>
      <w:r w:rsidRPr="00022247" w:rsidR="00022247">
        <w:rPr>
          <w:rFonts w:asciiTheme="majorHAnsi" w:hAnsiTheme="majorHAnsi" w:cstheme="majorHAnsi"/>
          <w:sz w:val="16"/>
          <w:szCs w:val="16"/>
        </w:rPr>
        <w:instrText xml:space="preserve"> is accredited by the American Osteopathic Association to provide osteopathic continuing medical education for physicians.</w:instrText>
      </w:r>
      <w:r w:rsidR="00022247">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7052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90064338"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2107460249"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FD6352">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15"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362541325"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15"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FD6352">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16">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391862719"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16">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FD6352">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7"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798742454"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7"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FD6352">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8"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580102830"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8"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0.00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155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9"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8739F0" w:rsidP="00B73875">
      <w:pPr>
        <w:contextualSpacing/>
        <w:rPr>
          <w:rFonts w:eastAsia="Cambria"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w:instrText>
      </w:r>
      <w:r w:rsidR="007F116F">
        <w:rPr>
          <w:rFonts w:eastAsia="Cambria" w:asciiTheme="majorHAnsi" w:hAnsiTheme="majorHAnsi" w:cstheme="majorHAnsi"/>
          <w:sz w:val="16"/>
          <w:szCs w:val="16"/>
        </w:rPr>
        <w:instrText>The Ascension Genesys Hospital</w:instrText>
      </w:r>
      <w:r w:rsidRPr="00022247" w:rsidR="00022247">
        <w:rPr>
          <w:rFonts w:eastAsia="Cambria" w:asciiTheme="majorHAnsi" w:hAnsiTheme="majorHAnsi" w:cstheme="majorHAnsi"/>
          <w:sz w:val="16"/>
          <w:szCs w:val="16"/>
        </w:rPr>
        <w:instrText xml:space="preserve">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A Credit(s) and will report CME and specialty credits commensurate with the extent of the physician’s participation in this activity.</w:instrText>
      </w:r>
    </w:p>
    <w:p w:rsidR="008739F0" w:rsidP="00B73875">
      <w:pPr>
        <w:contextualSpacing/>
        <w:rPr>
          <w:rFonts w:eastAsia="Cambria" w:asciiTheme="majorHAnsi" w:hAnsiTheme="majorHAnsi" w:cstheme="majorHAnsi"/>
          <w:sz w:val="16"/>
          <w:szCs w:val="16"/>
        </w:rPr>
      </w:pPr>
    </w:p>
    <w:p w:rsidR="004914AA" w:rsidRPr="00B73875" w:rsidP="00B73875">
      <w:pPr>
        <w:contextualSpacing/>
        <w:rPr>
          <w:rFonts w:eastAsia="Cambria" w:asciiTheme="majorHAnsi" w:hAnsiTheme="majorHAnsi" w:cstheme="majorHAnsi"/>
          <w:sz w:val="16"/>
          <w:szCs w:val="16"/>
        </w:rPr>
      </w:pPr>
      <w:r w:rsidRPr="00022247">
        <w:rPr>
          <w:rFonts w:eastAsia="Cambria" w:asciiTheme="majorHAnsi" w:hAnsiTheme="majorHAnsi" w:cstheme="majorHAnsi"/>
          <w:sz w:val="16"/>
          <w:szCs w:val="16"/>
        </w:rPr>
        <w:instrText xml:space="preserve">" "" </w:instrText>
      </w:r>
      <w:r w:rsidRPr="00022247">
        <w:rPr>
          <w:rFonts w:eastAsia="Cambria" w:asciiTheme="majorHAnsi" w:hAnsiTheme="majorHAnsi" w:cstheme="majorHAnsi"/>
          <w:sz w:val="16"/>
          <w:szCs w:val="16"/>
        </w:rPr>
        <w:fldChar w:fldCharType="separate"/>
      </w:r>
      <w:r w:rsidRPr="00022247">
        <w:rPr>
          <w:rFonts w:eastAsia="Cambria" w:asciiTheme="majorHAnsi" w:hAnsiTheme="majorHAnsi" w:cstheme="majorHAnsi"/>
          <w:sz w:val="16"/>
          <w:szCs w:val="16"/>
        </w:rPr>
        <w:fldChar w:fldCharType="end"/>
      </w:r>
      <w:r w:rsidR="008739F0">
        <w:rPr>
          <w:rFonts w:eastAsia="Cambria" w:asciiTheme="majorHAnsi" w:hAnsiTheme="majorHAnsi" w:cstheme="majorHAnsi"/>
          <w:sz w:val="16"/>
          <w:szCs w:val="16"/>
        </w:rPr>
        <w:fldChar w:fldCharType="begin"/>
      </w:r>
      <w:r w:rsidR="008739F0">
        <w:rPr>
          <w:rFonts w:eastAsia="Cambria" w:asciiTheme="majorHAnsi" w:hAnsiTheme="majorHAnsi" w:cstheme="majorHAnsi"/>
          <w:sz w:val="16"/>
          <w:szCs w:val="16"/>
        </w:rPr>
        <w:instrText xml:space="preserve"> IF </w:instrText>
      </w:r>
      <w:r w:rsidR="008739F0">
        <w:rPr>
          <w:rFonts w:eastAsia="Cambria" w:asciiTheme="majorHAnsi" w:hAnsiTheme="majorHAnsi" w:cstheme="majorHAnsi"/>
          <w:sz w:val="16"/>
          <w:szCs w:val="16"/>
        </w:rPr>
        <w:instrText>0.00</w:instrText>
      </w:r>
      <w:r w:rsidR="008739F0">
        <w:rPr>
          <w:rFonts w:eastAsia="Cambria" w:asciiTheme="majorHAnsi" w:hAnsiTheme="majorHAnsi" w:cstheme="majorHAnsi"/>
          <w:sz w:val="16"/>
          <w:szCs w:val="16"/>
        </w:rPr>
        <w:instrText xml:space="preserve"> &gt; 0 "</w:instrText>
      </w:r>
      <w:r w:rsidR="00FD6352">
        <w:rPr>
          <w:rFonts w:eastAsia="Cambria" w:asciiTheme="majorHAnsi" w:hAnsiTheme="majorHAnsi" w:cstheme="majorHAnsi"/>
          <w:sz w:val="16"/>
          <w:szCs w:val="16"/>
        </w:rPr>
        <w:instrText xml:space="preserve">This course has been designated for </w:instrText>
      </w:r>
      <w:r w:rsidR="00FD6352">
        <w:rPr>
          <w:rFonts w:eastAsia="Cambria" w:asciiTheme="majorHAnsi" w:hAnsiTheme="majorHAnsi" w:cstheme="majorHAnsi"/>
          <w:sz w:val="16"/>
          <w:szCs w:val="16"/>
        </w:rPr>
        <w:fldChar w:fldCharType="begin"/>
      </w:r>
      <w:r w:rsidR="00FD6352">
        <w:rPr>
          <w:rFonts w:eastAsia="Cambria" w:asciiTheme="majorHAnsi" w:hAnsiTheme="majorHAnsi" w:cstheme="majorHAnsi"/>
          <w:sz w:val="16"/>
          <w:szCs w:val="16"/>
        </w:rPr>
        <w:instrText xml:space="preserve"> MERGEFIELD EthicsHoursMax \# 0.00# </w:instrText>
      </w:r>
      <w:r w:rsidR="00FD6352">
        <w:rPr>
          <w:rFonts w:eastAsia="Cambria" w:asciiTheme="majorHAnsi" w:hAnsiTheme="majorHAnsi" w:cstheme="majorHAnsi"/>
          <w:sz w:val="16"/>
          <w:szCs w:val="16"/>
        </w:rPr>
        <w:fldChar w:fldCharType="separate"/>
      </w:r>
      <w:r w:rsidR="00FD6352">
        <w:rPr>
          <w:rFonts w:eastAsia="Cambria" w:asciiTheme="majorHAnsi" w:hAnsiTheme="majorHAnsi" w:cstheme="majorHAnsi"/>
          <w:sz w:val="16"/>
          <w:szCs w:val="16"/>
        </w:rPr>
        <w:fldChar w:fldCharType="end"/>
      </w:r>
      <w:r w:rsidR="00FD6352">
        <w:rPr>
          <w:rFonts w:eastAsia="Cambria" w:asciiTheme="majorHAnsi" w:hAnsiTheme="majorHAnsi" w:cstheme="majorHAnsi"/>
          <w:sz w:val="16"/>
          <w:szCs w:val="16"/>
        </w:rPr>
        <w:instrText xml:space="preserve"> credit(s) of education in medical ethics and/or professional responsibility.</w:instrText>
      </w:r>
      <w:r w:rsidR="008739F0">
        <w:rPr>
          <w:rFonts w:eastAsia="Cambria" w:asciiTheme="majorHAnsi" w:hAnsiTheme="majorHAnsi" w:cstheme="majorHAnsi"/>
          <w:sz w:val="16"/>
          <w:szCs w:val="16"/>
        </w:rPr>
        <w:instrText xml:space="preserve">" "" </w:instrText>
      </w:r>
      <w:r w:rsidR="008739F0">
        <w:rPr>
          <w:rFonts w:eastAsia="Cambria" w:asciiTheme="majorHAnsi" w:hAnsiTheme="majorHAnsi" w:cstheme="majorHAnsi"/>
          <w:sz w:val="16"/>
          <w:szCs w:val="16"/>
        </w:rPr>
        <w:fldChar w:fldCharType="separate"/>
      </w:r>
      <w:r w:rsidR="008739F0">
        <w:rPr>
          <w:rFonts w:eastAsia="Cambria"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Charity Cummiskey,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Emma Schulte,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Vishal Ooka,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Kulwin,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N Booker, MSW, LSCW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- 06/09/2023</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FD6352">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 w:type="paragraph" w:styleId="Header">
    <w:name w:val="header"/>
    <w:basedOn w:val="Normal"/>
    <w:link w:val="HeaderChar"/>
    <w:uiPriority w:val="99"/>
    <w:unhideWhenUsed/>
    <w:rsid w:val="00287AAA"/>
    <w:pPr>
      <w:tabs>
        <w:tab w:val="center" w:pos="4680"/>
        <w:tab w:val="right" w:pos="9360"/>
      </w:tabs>
    </w:pPr>
  </w:style>
  <w:style w:type="character" w:customStyle="1" w:styleId="HeaderChar">
    <w:name w:val="Header Char"/>
    <w:basedOn w:val="DefaultParagraphFont"/>
    <w:link w:val="Header"/>
    <w:uiPriority w:val="99"/>
    <w:rsid w:val="00287AAA"/>
  </w:style>
  <w:style w:type="paragraph" w:styleId="Footer">
    <w:name w:val="footer"/>
    <w:basedOn w:val="Normal"/>
    <w:link w:val="FooterChar"/>
    <w:uiPriority w:val="99"/>
    <w:unhideWhenUsed/>
    <w:rsid w:val="00287AAA"/>
    <w:pPr>
      <w:tabs>
        <w:tab w:val="center" w:pos="4680"/>
        <w:tab w:val="right" w:pos="9360"/>
      </w:tabs>
    </w:pPr>
  </w:style>
  <w:style w:type="character" w:customStyle="1" w:styleId="FooterChar">
    <w:name w:val="Footer Char"/>
    <w:basedOn w:val="DefaultParagraphFont"/>
    <w:link w:val="Footer"/>
    <w:uiPriority w:val="99"/>
    <w:rsid w:val="0028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jpe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Browne, Tyler</cp:lastModifiedBy>
  <cp:revision>2</cp:revision>
  <dcterms:created xsi:type="dcterms:W3CDTF">2023-04-21T14:49:00Z</dcterms:created>
  <dcterms:modified xsi:type="dcterms:W3CDTF">2023-04-21T14:49:00Z</dcterms:modified>
</cp:coreProperties>
</file>