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Alabama CE/CME Grand Rounds 2024 - 11/19/2024</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November 19, 2024 — 12:00 PM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pPr>
        <w:bidi w:val="0"/>
        <w:spacing w:after="280" w:afterAutospacing="1"/>
        <w:rPr>
          <w:rFonts w:ascii="Calibri Light" w:hAnsi="Calibri Light" w:cs="Calibri Light"/>
          <w:sz w:val="20"/>
          <w:szCs w:val="20"/>
        </w:rPr>
      </w:pPr>
      <w:r>
        <w:rPr>
          <w:rtl w:val="0"/>
        </w:rPr>
        <w:t>Despite being a common problem there is significant variability when it comes to the management of patients with acute back pain. This activity, the presenter will discuss an evidence based approach to the diagnosis and management of patients with low back pain.</w:t>
      </w:r>
    </w:p>
    <w:p>
      <w:pPr>
        <w:bidi w:val="0"/>
        <w:spacing w:after="280" w:afterAutospacing="1"/>
        <w:rPr>
          <w:rtl w:val="0"/>
        </w:rPr>
      </w:pPr>
      <w:r>
        <w:rPr>
          <w:b/>
          <w:bCs/>
          <w:u w:val="single"/>
          <w:rtl w:val="0"/>
        </w:rPr>
        <w:t>Disclosures:</w:t>
      </w:r>
      <w:r>
        <w:rPr>
          <w:rtl w:val="0"/>
        </w:rPr>
        <w:br/>
      </w:r>
      <w:r>
        <w:rPr>
          <w:rtl w:val="0"/>
        </w:rPr>
        <w:br/>
      </w:r>
      <w:r>
        <w:rPr>
          <w:b/>
          <w:bCs/>
          <w:rtl w:val="0"/>
        </w:rPr>
        <w:t>Faculty:</w:t>
      </w:r>
      <w:r>
        <w:rPr>
          <w:rtl w:val="0"/>
        </w:rPr>
        <w:t> Matthew DeLaney, MD</w:t>
      </w:r>
      <w:r>
        <w:rPr>
          <w:rtl w:val="0"/>
        </w:rPr>
        <w:br/>
      </w:r>
      <w:r>
        <w:rPr>
          <w:rtl w:val="0"/>
        </w:rPr>
        <w:t>* I have no relevant financial relationships with ACCME-defined commercial interest or other relationships with the suppliers of commercial services, manufacturers of commercial products, or commercial supporters. All relevant financial relationships have been mitigated.</w:t>
      </w:r>
      <w:r>
        <w:rPr>
          <w:rtl w:val="0"/>
        </w:rPr>
        <w:br/>
      </w:r>
      <w:r>
        <w:rPr>
          <w:rtl w:val="0"/>
        </w:rPr>
        <w:t>* Will not be discussing the off-label or investigational use of products.</w:t>
      </w:r>
      <w:r>
        <w:rPr>
          <w:rtl w:val="0"/>
        </w:rPr>
        <w:br/>
      </w:r>
      <w:r>
        <w:rPr>
          <w:rtl w:val="0"/>
        </w:rPr>
        <w:t>* All Ascension planners and reviewers have no relevant financial relationships with ACCME-defined commercial interests.</w:t>
      </w:r>
      <w:r>
        <w:rPr>
          <w:rtl w:val="0"/>
        </w:rPr>
        <w:br/>
      </w:r>
      <w:r>
        <w:rPr>
          <w:rtl w:val="0"/>
        </w:rPr>
        <w:br/>
      </w:r>
      <w:r>
        <w:rPr>
          <w:rtl w:val="0"/>
        </w:rPr>
        <w:t>Live Stream: </w:t>
      </w:r>
      <w:r>
        <w:rPr>
          <w:rtl w:val="0"/>
        </w:rPr>
        <w:fldChar w:fldCharType="begin"/>
      </w:r>
      <w:r>
        <w:rPr>
          <w:rtl w:val="0"/>
        </w:rPr>
        <w:instrText xml:space="preserve"> HYPERLINK "https://www.ipcelp.com" </w:instrText>
      </w:r>
      <w:r>
        <w:rPr>
          <w:rtl w:val="0"/>
        </w:rPr>
        <w:fldChar w:fldCharType="separate"/>
      </w:r>
      <w:r>
        <w:rPr>
          <w:color w:val="0000FF"/>
          <w:u w:val="single"/>
          <w:rtl w:val="0"/>
        </w:rPr>
        <w:t>Live Stream Link</w:t>
      </w:r>
      <w:r>
        <w:rPr>
          <w:rtl w:val="0"/>
        </w:rPr>
        <w:fldChar w:fldCharType="end"/>
      </w:r>
      <w:r>
        <w:rPr>
          <w:rtl w:val="0"/>
        </w:rPr>
        <w:br/>
      </w:r>
      <w:r>
        <w:rPr>
          <w:rtl w:val="0"/>
        </w:rPr>
        <w:t>Flyer:  </w:t>
      </w:r>
      <w:r>
        <w:rPr>
          <w:rtl w:val="0"/>
        </w:rPr>
        <w:br/>
      </w:r>
      <w:r>
        <w:rPr>
          <w:rtl w:val="0"/>
        </w:rPr>
        <w:t>How to Receive Credit: </w:t>
      </w:r>
    </w:p>
    <w:p w:rsidRPr="00BB598D">
      <w:pPr>
        <w:bidi w:val="0"/>
        <w:spacing w:after="280" w:afterAutospacing="1"/>
        <w:rPr>
          <w:rFonts w:ascii="Calibri Light" w:hAnsi="Calibri Light" w:cs="Calibri Light"/>
          <w:sz w:val="20"/>
          <w:szCs w:val="20"/>
        </w:rPr>
      </w:pP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Identify high risk elements of the history and physical.</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Develop evidence based approaches to treating high risk low back pain</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Discuss effective treatment modalities for low back pain</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 Perinatal, Neonatal, Internal Medicine, Neurosurgery, Critical Care Medicine, Ems (Pre-Hospital)</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 Perinatal, Neonatal, Internal Medicine, Neurosurgery, Critical Care Medicine, Ems (Pre-Hospital)</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Anesthesiology, Cardiology, Dermatology, Emergency Medicine, Family Medicine, General Medicine, Medicine, Neurology, Ob/Gyn, Oncology, Orthopedics, Pathology &amp; Laboratory Medicine, Pediatrics, Physical Medicine &amp; Rehab, Primary Care, Psychiatry, Radiology, Radiation Oncology , Surgery, Other, Rheumatology, Palliative Care, Infectious Disease, Telemedicine, Perinatal, Neonatal, Internal Medicine, Neurosurgery, Critical Care Medicine, Ems (Pre-Hospital)</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Physician, Physician Assistant, Psychologists, Pharmacist, Nurse, Social Workers, Pharmacy Technician, Chaplain, Advanced Practice Nurse, Resident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instrText>Physician, Physician Assistant, Psychologists, Pharmacist, Nurse, Social Workers, Pharmacy Technician, Chaplain, Advanced Practice Nurse, Resident</w:instrText>
      </w:r>
      <w:r>
        <w:rPr>
          <w:rFonts w:asciiTheme="majorHAnsi" w:hAnsiTheme="majorHAnsi" w:cstheme="majorHAnsi"/>
          <w:sz w:val="20"/>
          <w:szCs w:val="20"/>
        </w:rPr>
        <w:instrText>"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Professions: </w:t>
      </w:r>
      <w:r>
        <w:rPr>
          <w:rFonts w:asciiTheme="majorHAnsi" w:hAnsiTheme="majorHAnsi" w:cstheme="majorHAnsi"/>
          <w:sz w:val="20"/>
          <w:szCs w:val="20"/>
        </w:rPr>
        <w:t>Physician, Physician Assistant, Psychologists, Pharmacist, Nurse, Social Workers, Pharmacy Technician, Chaplain, Advanced Practice Nurse, Resident</w:t>
      </w:r>
      <w:r>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ICPEHoursMax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386881028"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03574309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347347073"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994276147"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1.00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210287183"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1.00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1.00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sidR="004914AA">
        <w:rPr>
          <w:rFonts w:asciiTheme="majorHAnsi" w:hAnsiTheme="majorHAnsi" w:cstheme="majorHAnsi"/>
          <w:noProof/>
          <w:sz w:val="16"/>
          <w:szCs w:val="16"/>
        </w:rPr>
        <w:drawing>
          <wp:anchor distT="0" distB="0" distL="0" distR="27305" simplePos="0" relativeHeight="25167155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411122749"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Pr="00022247" w:rsidP="00733EDA">
      <w:pPr>
        <w:contextualSpacing/>
        <w:rPr>
          <w:rFonts w:asciiTheme="majorHAnsi" w:hAnsiTheme="majorHAnsi" w:cstheme="majorHAnsi"/>
          <w:sz w:val="16"/>
          <w:szCs w:val="16"/>
        </w:rPr>
      </w:pP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sidR="00733EDA">
        <w:rPr>
          <w:rFonts w:asciiTheme="majorHAnsi" w:hAnsiTheme="majorHAnsi" w:cstheme="majorHAnsi"/>
          <w:sz w:val="16"/>
          <w:szCs w:val="16"/>
        </w:rPr>
        <w:fldChar w:fldCharType="begin"/>
      </w:r>
      <w:r w:rsidRPr="00733EDA" w:rsidR="00733EDA">
        <w:rPr>
          <w:rFonts w:asciiTheme="majorHAnsi" w:hAnsiTheme="majorHAnsi" w:cstheme="majorHAnsi"/>
          <w:sz w:val="16"/>
          <w:szCs w:val="16"/>
        </w:rPr>
        <w:instrText xml:space="preserve"> IF </w:instrText>
      </w:r>
      <w:r w:rsidRPr="00733EDA" w:rsidR="00733EDA">
        <w:rPr>
          <w:rFonts w:asciiTheme="majorHAnsi" w:hAnsiTheme="majorHAnsi" w:cstheme="majorHAnsi"/>
          <w:sz w:val="16"/>
          <w:szCs w:val="16"/>
        </w:rPr>
        <w:instrText>0.00</w:instrText>
      </w:r>
      <w:r w:rsidR="00733EDA">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2576"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Latonya Mason-Wilson, DNP, NE-BC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Randall,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C DeLaney,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N Nix,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Brandi Blevins, PA-C, DMSc,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Tim Bode,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- 12/11/2023</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