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FC4CA5" w:rsidP="00EB3966">
      <w:pPr>
        <w:pStyle w:val="NormalWeb"/>
        <w:spacing w:before="0" w:beforeAutospacing="0" w:after="0" w:afterAutospacing="0"/>
        <w:contextualSpacing/>
        <w:rPr>
          <w:rFonts w:ascii="Cambria" w:hAnsi="Cambria" w:cstheme="majorHAnsi"/>
          <w:color w:val="223B82"/>
          <w:sz w:val="10"/>
          <w:szCs w:val="10"/>
        </w:rPr>
      </w:pPr>
      <w:r>
        <w:rPr>
          <w:noProof/>
        </w:rPr>
        <w:drawing>
          <wp:inline distT="0" distB="0" distL="0" distR="0">
            <wp:extent cx="2059200" cy="435665"/>
            <wp:effectExtent l="0" t="0" r="0" b="0"/>
            <wp:docPr id="5" name="image6.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6.png" descr="Logo&#10;&#10;Description automatically generated with medium confidence"/>
                    <pic:cNvPicPr preferRelativeResize="0"/>
                  </pic:nvPicPr>
                  <pic:blipFill>
                    <a:blip xmlns:r="http://schemas.openxmlformats.org/officeDocument/2006/relationships" r:embed="rId4" cstate="print">
                      <a:extLst>
                        <a:ext uri="{28A0092B-C50C-407E-A947-70E740481C1C}">
                          <a14:useLocalDpi xmlns:a14="http://schemas.microsoft.com/office/drawing/2010/main" val="0"/>
                        </a:ext>
                      </a:extLst>
                    </a:blip>
                    <a:srcRect/>
                    <a:stretch>
                      <a:fillRect/>
                    </a:stretch>
                  </pic:blipFill>
                  <pic:spPr>
                    <a:xfrm>
                      <a:off x="0" y="0"/>
                      <a:ext cx="2087206" cy="441590"/>
                    </a:xfrm>
                    <a:prstGeom prst="rect">
                      <a:avLst/>
                    </a:prstGeom>
                    <a:ln/>
                  </pic:spPr>
                </pic:pic>
              </a:graphicData>
            </a:graphic>
          </wp:inline>
        </w:drawing>
      </w:r>
    </w:p>
    <w:p w:rsidR="00E51B46" w:rsidRPr="00FC4CA5" w:rsidP="00EB3966">
      <w:pPr>
        <w:pStyle w:val="NormalWeb"/>
        <w:spacing w:before="0" w:beforeAutospacing="0" w:after="0" w:afterAutospacing="0"/>
        <w:contextualSpacing/>
        <w:rPr>
          <w:rFonts w:ascii="Cambria" w:hAnsi="Cambria" w:cstheme="majorHAnsi"/>
          <w:color w:val="223B82"/>
          <w:sz w:val="10"/>
          <w:szCs w:val="10"/>
        </w:rPr>
      </w:pPr>
    </w:p>
    <w:p w:rsidR="00F83740" w:rsidP="00EB3966">
      <w:pPr>
        <w:pStyle w:val="NormalWeb"/>
        <w:spacing w:before="0" w:beforeAutospacing="0" w:after="0" w:afterAutospacing="0"/>
        <w:contextualSpacing/>
        <w:rPr>
          <w:rFonts w:ascii="Cambria" w:hAnsi="Cambria" w:cstheme="majorHAnsi"/>
          <w:color w:val="223B82"/>
          <w:sz w:val="40"/>
          <w:szCs w:val="40"/>
        </w:rPr>
      </w:pPr>
      <w:r w:rsidRPr="00F83740">
        <w:rPr>
          <w:rFonts w:ascii="Cambria" w:hAnsi="Cambria" w:cstheme="majorHAnsi"/>
          <w:color w:val="223B82"/>
          <w:sz w:val="40"/>
          <w:szCs w:val="40"/>
        </w:rPr>
        <w:t>Continuing Education/Continuing Medical Education (CE/CME)</w:t>
      </w:r>
    </w:p>
    <w:p w:rsidR="00F83740" w:rsidRPr="00F83740" w:rsidP="00EB3966">
      <w:pPr>
        <w:pStyle w:val="NormalWeb"/>
        <w:spacing w:before="0" w:beforeAutospacing="0" w:after="0" w:afterAutospacing="0"/>
        <w:contextualSpacing/>
        <w:rPr>
          <w:rFonts w:ascii="Cambria" w:hAnsi="Cambria" w:cstheme="majorHAnsi"/>
          <w:color w:val="223B82"/>
          <w:sz w:val="10"/>
          <w:szCs w:val="10"/>
        </w:rPr>
      </w:pPr>
    </w:p>
    <w:p w:rsidR="00256673" w:rsidRPr="0052325A" w:rsidP="00EB3966">
      <w:pPr>
        <w:pStyle w:val="NormalWeb"/>
        <w:spacing w:before="0" w:beforeAutospacing="0" w:after="0" w:afterAutospacing="0"/>
        <w:contextualSpacing/>
        <w:rPr>
          <w:rFonts w:ascii="Cambria" w:hAnsi="Cambria" w:cstheme="majorHAnsi"/>
          <w:color w:val="223B82"/>
          <w:sz w:val="44"/>
          <w:szCs w:val="44"/>
        </w:rPr>
      </w:pPr>
      <w:r>
        <w:rPr>
          <w:rFonts w:ascii="Cambria" w:hAnsi="Cambria" w:cstheme="majorHAnsi"/>
          <w:b/>
          <w:bCs/>
          <w:color w:val="223B82"/>
          <w:sz w:val="40"/>
          <w:szCs w:val="40"/>
        </w:rPr>
        <w:t>Ethical Consideration in Behavioral Health Webinar Series: Safe Discharge Planning and Scarce Resources</w:t>
      </w:r>
    </w:p>
    <w:p w:rsidR="0052325A" w:rsidRPr="005112C7" w:rsidP="00EB3966">
      <w:pPr>
        <w:pStyle w:val="NormalWeb"/>
        <w:spacing w:before="0" w:beforeAutospacing="0" w:after="0" w:afterAutospacing="0"/>
        <w:contextualSpacing/>
        <w:rPr>
          <w:rFonts w:ascii="Cambria" w:hAnsi="Cambria" w:cstheme="majorHAnsi"/>
          <w:color w:val="223B82"/>
          <w:sz w:val="10"/>
          <w:szCs w:val="10"/>
        </w:rPr>
      </w:pPr>
    </w:p>
    <w:p w:rsidR="0052325A" w:rsidRPr="00314025" w:rsidP="00EB3966">
      <w:pPr>
        <w:pStyle w:val="NormalWeb"/>
        <w:pBdr>
          <w:top w:val="single" w:sz="6" w:space="1" w:color="auto"/>
          <w:bottom w:val="single" w:sz="6" w:space="1" w:color="auto"/>
        </w:pBdr>
        <w:spacing w:before="0" w:beforeAutospacing="0" w:after="0" w:afterAutospacing="0"/>
        <w:contextualSpacing/>
        <w:rPr>
          <w:rFonts w:ascii="Arial" w:hAnsi="Arial" w:cs="Arial"/>
          <w:color w:val="000000" w:themeColor="text1"/>
          <w:sz w:val="28"/>
          <w:szCs w:val="28"/>
        </w:rPr>
      </w:pPr>
      <w:r w:rsidRPr="0052325A">
        <w:rPr>
          <w:rFonts w:ascii="Calibri Light" w:hAnsi="Calibri Light" w:cs="Calibri Light"/>
          <w:color w:val="223B82"/>
          <w:sz w:val="40"/>
          <w:szCs w:val="40"/>
        </w:rPr>
        <w:t>WHEN:</w:t>
      </w:r>
      <w:r w:rsidR="00CA5478">
        <w:rPr>
          <w:rFonts w:ascii="Calibri Light" w:hAnsi="Calibri Light" w:cs="Calibri Light"/>
          <w:color w:val="223B82"/>
          <w:sz w:val="28"/>
          <w:szCs w:val="28"/>
        </w:rPr>
        <w:tab/>
      </w:r>
      <w:r w:rsidR="00CA5478">
        <w:rPr>
          <w:rFonts w:ascii="Calibri Light" w:hAnsi="Calibri Light" w:cs="Calibri Light"/>
          <w:color w:val="223B82"/>
          <w:sz w:val="28"/>
          <w:szCs w:val="28"/>
        </w:rPr>
        <w:tab/>
      </w:r>
      <w:r w:rsidRPr="00314025" w:rsidR="00CA5478">
        <w:rPr>
          <w:rFonts w:ascii="Arial" w:hAnsi="Arial" w:cs="Arial"/>
          <w:color w:val="000000" w:themeColor="text1"/>
          <w:sz w:val="28"/>
          <w:szCs w:val="28"/>
        </w:rPr>
        <w:t>July 24, 2024 — 11:00 AM</w:t>
      </w:r>
    </w:p>
    <w:p w:rsidR="00BA0CEE" w:rsidRPr="005112C7" w:rsidP="00EB3966">
      <w:pPr>
        <w:pStyle w:val="NormalWeb"/>
        <w:pBdr>
          <w:top w:val="single" w:sz="6" w:space="1" w:color="auto"/>
          <w:bottom w:val="single" w:sz="6" w:space="1" w:color="auto"/>
        </w:pBdr>
        <w:spacing w:before="0" w:beforeAutospacing="0" w:after="0" w:afterAutospacing="0"/>
        <w:contextualSpacing/>
        <w:rPr>
          <w:rFonts w:ascii="Cambria" w:hAnsi="Cambria" w:cs="Calibri Light"/>
          <w:color w:val="000000" w:themeColor="text1"/>
          <w:sz w:val="10"/>
          <w:szCs w:val="10"/>
        </w:rPr>
      </w:pPr>
    </w:p>
    <w:p w:rsidR="00321E8C" w:rsidRPr="00E52130" w:rsidP="00EB3966">
      <w:pPr>
        <w:pStyle w:val="NormalWeb"/>
        <w:spacing w:before="0" w:beforeAutospacing="0" w:after="0" w:afterAutospacing="0"/>
        <w:contextualSpacing/>
        <w:rPr>
          <w:rFonts w:ascii="Arial" w:hAnsi="Arial" w:cs="Arial"/>
          <w:color w:val="000000" w:themeColor="text1"/>
          <w:sz w:val="10"/>
          <w:szCs w:val="10"/>
        </w:rPr>
      </w:pPr>
    </w:p>
    <w:p w:rsidR="00314025" w:rsidRPr="00314025" w:rsidP="00EB3966">
      <w:pPr>
        <w:pStyle w:val="NormalWeb"/>
        <w:spacing w:before="0" w:beforeAutospacing="0" w:after="0" w:afterAutospacing="0"/>
        <w:contextualSpacing/>
        <w:rPr>
          <w:rFonts w:ascii="Arial" w:hAnsi="Arial" w:cs="Arial"/>
          <w:b/>
          <w:bCs/>
          <w:color w:val="223B82"/>
          <w:sz w:val="22"/>
          <w:szCs w:val="22"/>
        </w:rPr>
        <w:sectPr w:rsidSect="00235293">
          <w:pgSz w:w="12240" w:h="15840"/>
          <w:pgMar w:top="432" w:right="432" w:bottom="432" w:left="432" w:header="720" w:footer="720" w:gutter="0"/>
          <w:cols w:space="720"/>
          <w:docGrid w:linePitch="360"/>
        </w:sectPr>
      </w:pPr>
    </w:p>
    <w:p w:rsidR="00314025" w:rsidRPr="00314025" w:rsidP="00EB3966">
      <w:pPr>
        <w:pStyle w:val="NormalWeb"/>
        <w:spacing w:before="0" w:beforeAutospacing="0" w:after="0" w:afterAutospacing="0"/>
        <w:contextualSpacing/>
        <w:rPr>
          <w:rFonts w:ascii="Arial" w:hAnsi="Arial" w:cs="Arial"/>
          <w:color w:val="223B82"/>
          <w:sz w:val="10"/>
          <w:szCs w:val="10"/>
        </w:rPr>
      </w:pPr>
    </w:p>
    <w:p w:rsidR="00321E8C" w:rsidRPr="00314025" w:rsidP="00EB3966">
      <w:pPr>
        <w:pStyle w:val="NormalWeb"/>
        <w:spacing w:before="0" w:beforeAutospacing="0" w:after="0" w:afterAutospacing="0"/>
        <w:contextualSpacing/>
        <w:rPr>
          <w:rFonts w:ascii="Arial" w:hAnsi="Arial" w:cs="Arial"/>
          <w:b/>
          <w:bCs/>
          <w:color w:val="223B82"/>
          <w:sz w:val="28"/>
          <w:szCs w:val="28"/>
        </w:rPr>
      </w:pPr>
      <w:r w:rsidRPr="00314025">
        <w:rPr>
          <w:rFonts w:ascii="Arial" w:hAnsi="Arial" w:cs="Arial"/>
          <w:b/>
          <w:bCs/>
          <w:color w:val="223B82"/>
          <w:sz w:val="28"/>
          <w:szCs w:val="28"/>
        </w:rPr>
        <w:t xml:space="preserve">Presentation </w:t>
      </w:r>
      <w:r w:rsidR="00F83740">
        <w:rPr>
          <w:rFonts w:ascii="Arial" w:hAnsi="Arial" w:cs="Arial"/>
          <w:b/>
          <w:bCs/>
          <w:color w:val="223B82"/>
          <w:sz w:val="28"/>
          <w:szCs w:val="28"/>
        </w:rPr>
        <w:t>p</w:t>
      </w:r>
      <w:r w:rsidRPr="00314025">
        <w:rPr>
          <w:rFonts w:ascii="Arial" w:hAnsi="Arial" w:cs="Arial"/>
          <w:b/>
          <w:bCs/>
          <w:color w:val="223B82"/>
          <w:sz w:val="28"/>
          <w:szCs w:val="28"/>
        </w:rPr>
        <w:t>urpose:</w:t>
      </w:r>
    </w:p>
    <w:p w:rsidR="00314025" w:rsidRPr="00314025" w:rsidP="00EB3966">
      <w:pPr>
        <w:pStyle w:val="NormalWeb"/>
        <w:spacing w:before="0" w:beforeAutospacing="0" w:after="0" w:afterAutospacing="0"/>
        <w:contextualSpacing/>
        <w:rPr>
          <w:rFonts w:ascii="Arial" w:hAnsi="Arial" w:cs="Arial"/>
          <w:sz w:val="10"/>
          <w:szCs w:val="10"/>
        </w:rPr>
      </w:pPr>
    </w:p>
    <w:p w:rsidR="00E52130" w:rsidRPr="00BB598D" w:rsidP="00EB3966">
      <w:pPr>
        <w:pStyle w:val="NormalWeb"/>
        <w:numPr>
          <w:ilvl w:val="0"/>
          <w:numId w:val="2"/>
        </w:numPr>
        <w:spacing w:before="0" w:beforeAutospacing="0" w:after="0" w:afterAutospacing="0"/>
        <w:ind w:left="360" w:hanging="180"/>
        <w:contextualSpacing/>
        <w:rPr>
          <w:rFonts w:ascii="Calibri Light" w:hAnsi="Calibri Light" w:cs="Calibri Light"/>
          <w:sz w:val="20"/>
          <w:szCs w:val="20"/>
        </w:rPr>
      </w:pPr>
      <w:r>
        <w:rPr>
          <w:rtl w:val="0"/>
        </w:rPr>
        <w:t>The last session in the series for FY 24 will focus on clinical and ethical considerations in safe discharge planning for patients with behavioral health needs, especially in communities with scarce resources. This "Ethical Considerations in Behavioral Health" quarterly series is a case-based and participant engaging series open to all Ascension associates, with particular focus on those caring for patients or clients with behavioral health needs. The series will examine clinical considerations and resources, as well as ethical principles and the Ethical and Religious Directives relative to select topics, including: addressing the stigma surrounding mental health and substance use, capacity and decision-making, suicide and suicidal ideation, and safe discharge planning. We will also focus on how we as individuals, clinicians and as an organization ought to promote holistic care for ourselves and for those we serve.</w:t>
      </w:r>
    </w:p>
    <w:p w:rsidR="00E52130" w:rsidRPr="00F77B98" w:rsidP="00EB3966">
      <w:pPr>
        <w:pStyle w:val="NormalWeb"/>
        <w:spacing w:before="0" w:beforeAutospacing="0" w:after="0" w:afterAutospacing="0"/>
        <w:contextualSpacing/>
        <w:rPr>
          <w:rFonts w:ascii="Arial" w:hAnsi="Arial" w:cs="Arial"/>
          <w:sz w:val="20"/>
          <w:szCs w:val="20"/>
        </w:rPr>
      </w:pPr>
    </w:p>
    <w:p w:rsidR="00E52130" w:rsidRPr="00E52130" w:rsidP="00EB3966">
      <w:pPr>
        <w:pStyle w:val="NormalWeb"/>
        <w:spacing w:before="0" w:beforeAutospacing="0" w:after="0" w:afterAutospacing="0"/>
        <w:contextualSpacing/>
        <w:rPr>
          <w:rFonts w:ascii="Arial" w:hAnsi="Arial" w:cs="Arial"/>
          <w:sz w:val="20"/>
          <w:szCs w:val="20"/>
        </w:rPr>
      </w:pPr>
      <w:r>
        <w:rPr>
          <w:rFonts w:ascii="Arial" w:hAnsi="Arial" w:cs="Arial"/>
          <w:b/>
          <w:bCs/>
          <w:color w:val="223B82"/>
          <w:sz w:val="28"/>
          <w:szCs w:val="28"/>
        </w:rPr>
        <w:t xml:space="preserve">Learning </w:t>
      </w:r>
      <w:r w:rsidR="00F83740">
        <w:rPr>
          <w:rFonts w:ascii="Arial" w:hAnsi="Arial" w:cs="Arial"/>
          <w:b/>
          <w:bCs/>
          <w:color w:val="223B82"/>
          <w:sz w:val="28"/>
          <w:szCs w:val="28"/>
        </w:rPr>
        <w:t>o</w:t>
      </w:r>
      <w:r>
        <w:rPr>
          <w:rFonts w:ascii="Arial" w:hAnsi="Arial" w:cs="Arial"/>
          <w:b/>
          <w:bCs/>
          <w:color w:val="223B82"/>
          <w:sz w:val="28"/>
          <w:szCs w:val="28"/>
        </w:rPr>
        <w:t>bjectives:</w:t>
      </w:r>
    </w:p>
    <w:p w:rsidR="00E52130" w:rsidRPr="00E52130" w:rsidP="00EB3966">
      <w:pPr>
        <w:pStyle w:val="NormalWeb"/>
        <w:spacing w:before="0" w:beforeAutospacing="0" w:after="0" w:afterAutospacing="0"/>
        <w:contextualSpacing/>
        <w:rPr>
          <w:rFonts w:ascii="Arial" w:hAnsi="Arial" w:cs="Arial"/>
          <w:sz w:val="10"/>
          <w:szCs w:val="10"/>
        </w:rPr>
      </w:pPr>
    </w:p>
    <w:p w:rsidR="00E51B46" w:rsidRPr="002836AF"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1 Understand the clinical and ethical considerations relevant to the topic being presented</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2 Articulate ethical principles and Ethical and Religious Directives that are relevant to the topic</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3 Increased awareness of behavioral health and wellness resources available to them as Ascension associates, and to patients within their care</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4 Recognize and be able to respond to clinical and ethical challenges related to safe discharge planning within their field of work</w:t>
      </w:r>
    </w:p>
    <w:p w:rsidRPr="00BB598D" w:rsidP="00EB3966">
      <w:pPr>
        <w:pStyle w:val="NormalWeb"/>
        <w:numPr>
          <w:ilvl w:val="0"/>
          <w:numId w:val="2"/>
        </w:numPr>
        <w:spacing w:before="0" w:beforeAutospacing="0" w:after="0" w:afterAutospacing="0"/>
        <w:ind w:left="360" w:hanging="180"/>
        <w:contextualSpacing/>
        <w:rPr>
          <w:rFonts w:asciiTheme="majorHAnsi" w:hAnsiTheme="majorHAnsi" w:cstheme="majorHAnsi"/>
          <w:sz w:val="20"/>
          <w:szCs w:val="20"/>
        </w:rPr>
      </w:pPr>
      <w:r w:rsidRPr="00BB598D">
        <w:rPr>
          <w:rFonts w:asciiTheme="majorHAnsi" w:hAnsiTheme="majorHAnsi" w:cstheme="majorHAnsi"/>
          <w:sz w:val="20"/>
          <w:szCs w:val="20"/>
        </w:rPr>
        <w:t>5 Connect ethical principles and frameworks explored within the series to professional codes of ethics</w:t>
      </w:r>
    </w:p>
    <w:p w:rsidR="00E51B46" w:rsidRPr="00BB598D" w:rsidP="00EB3966">
      <w:pPr>
        <w:pStyle w:val="NormalWeb"/>
        <w:spacing w:before="0" w:beforeAutospacing="0" w:after="0" w:afterAutospacing="0"/>
        <w:contextualSpacing/>
        <w:rPr>
          <w:rFonts w:ascii="Arial" w:hAnsi="Arial" w:cs="Arial"/>
          <w:sz w:val="20"/>
          <w:szCs w:val="20"/>
        </w:rPr>
      </w:pPr>
    </w:p>
    <w:p w:rsidR="00622659" w:rsidP="00622659">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Target audience:</w:t>
      </w:r>
    </w:p>
    <w:p w:rsidR="00BB598D" w:rsidP="00EB3966">
      <w:pPr>
        <w:pStyle w:val="NormalWeb"/>
        <w:spacing w:before="0" w:beforeAutospacing="0" w:after="0" w:afterAutospacing="0"/>
        <w:contextualSpacing/>
        <w:rPr>
          <w:rFonts w:ascii="Arial" w:hAnsi="Arial" w:cs="Arial"/>
          <w:color w:val="223B82"/>
          <w:sz w:val="10"/>
          <w:szCs w:val="10"/>
        </w:rPr>
      </w:pP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This activity is designed for the interdisciplinary audience including the following:</w:t>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Emergency Medicine</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Specialties: </w:instrText>
      </w:r>
      <w:r>
        <w:rPr>
          <w:rFonts w:asciiTheme="majorHAnsi" w:hAnsiTheme="majorHAnsi" w:cstheme="majorHAnsi"/>
          <w:sz w:val="20"/>
          <w:szCs w:val="20"/>
        </w:rPr>
        <w:instrText>Emergency Medicine</w:instrText>
      </w:r>
      <w:r>
        <w:rPr>
          <w:rFonts w:asciiTheme="majorHAnsi" w:hAnsiTheme="majorHAnsi" w:cstheme="majorHAnsi"/>
          <w:sz w:val="20"/>
          <w:szCs w:val="20"/>
        </w:rPr>
        <w:instrText xml:space="preserve">" "" </w:instrText>
      </w:r>
      <w:r>
        <w:rPr>
          <w:rFonts w:asciiTheme="majorHAnsi" w:hAnsiTheme="majorHAnsi" w:cstheme="majorHAnsi"/>
          <w:sz w:val="20"/>
          <w:szCs w:val="20"/>
        </w:rPr>
        <w:fldChar w:fldCharType="separate"/>
      </w:r>
    </w:p>
    <w:p w:rsidR="004B359F" w:rsidP="0054641D">
      <w:pPr>
        <w:pStyle w:val="NormalWeb"/>
        <w:spacing w:before="0" w:beforeAutospacing="0" w:after="0" w:afterAutospacing="0"/>
        <w:ind w:left="360"/>
        <w:contextualSpacing/>
        <w:rPr>
          <w:rFonts w:asciiTheme="majorHAnsi" w:hAnsiTheme="majorHAnsi" w:cstheme="majorHAnsi"/>
          <w:sz w:val="20"/>
          <w:szCs w:val="20"/>
        </w:rPr>
      </w:pPr>
      <w:r>
        <w:rPr>
          <w:rFonts w:asciiTheme="majorHAnsi" w:hAnsiTheme="majorHAnsi" w:cstheme="majorHAnsi"/>
          <w:sz w:val="20"/>
          <w:szCs w:val="20"/>
        </w:rPr>
        <w:t xml:space="preserve">Specialties: </w:t>
      </w:r>
      <w:r>
        <w:rPr>
          <w:rFonts w:asciiTheme="majorHAnsi" w:hAnsiTheme="majorHAnsi" w:cstheme="majorHAnsi"/>
          <w:sz w:val="20"/>
          <w:szCs w:val="20"/>
        </w:rPr>
        <w:t>Emergency Medicine</w:t>
      </w:r>
      <w:r>
        <w:rPr>
          <w:rFonts w:asciiTheme="majorHAnsi" w:hAnsiTheme="majorHAnsi" w:cstheme="majorHAnsi"/>
          <w:sz w:val="20"/>
          <w:szCs w:val="20"/>
        </w:rPr>
        <w:fldChar w:fldCharType="end"/>
      </w:r>
      <w:r>
        <w:rPr>
          <w:rFonts w:asciiTheme="majorHAnsi" w:hAnsiTheme="majorHAnsi" w:cstheme="majorHAnsi"/>
          <w:sz w:val="20"/>
          <w:szCs w:val="20"/>
        </w:rPr>
        <w:fldChar w:fldCharType="begin"/>
      </w:r>
      <w:r>
        <w:rPr>
          <w:rFonts w:asciiTheme="majorHAnsi" w:hAnsiTheme="majorHAnsi" w:cstheme="majorHAnsi"/>
          <w:sz w:val="20"/>
          <w:szCs w:val="20"/>
        </w:rPr>
        <w:instrText xml:space="preserve"> IF </w:instrText>
      </w:r>
      <w:r>
        <w:rPr>
          <w:rFonts w:asciiTheme="majorHAnsi" w:hAnsiTheme="majorHAnsi" w:cstheme="majorHAnsi"/>
          <w:sz w:val="20"/>
          <w:szCs w:val="20"/>
        </w:rPr>
        <w:instrText>"</w:instrText>
      </w:r>
      <w:r>
        <w:rPr>
          <w:rFonts w:asciiTheme="majorHAnsi" w:hAnsiTheme="majorHAnsi" w:cstheme="majorHAnsi"/>
          <w:sz w:val="20"/>
          <w:szCs w:val="20"/>
        </w:rPr>
        <w:instrText>"</w:instrText>
      </w:r>
      <w:r>
        <w:rPr>
          <w:rFonts w:asciiTheme="majorHAnsi" w:hAnsiTheme="majorHAnsi" w:cstheme="majorHAnsi"/>
          <w:sz w:val="20"/>
          <w:szCs w:val="20"/>
        </w:rPr>
        <w:instrText xml:space="preserve"> &lt;&gt; "" "</w:instrText>
      </w:r>
    </w:p>
    <w:p w:rsidR="00733EDA" w:rsidP="0054641D">
      <w:pPr>
        <w:pStyle w:val="NormalWeb"/>
        <w:spacing w:before="0" w:beforeAutospacing="0" w:after="0" w:afterAutospacing="0"/>
        <w:ind w:left="360"/>
        <w:contextualSpacing/>
        <w:rPr>
          <w:rFonts w:asciiTheme="majorHAnsi" w:hAnsiTheme="majorHAnsi" w:cstheme="majorHAnsi"/>
          <w:noProof/>
          <w:sz w:val="20"/>
          <w:szCs w:val="20"/>
        </w:rPr>
      </w:pP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begin"/>
      </w:r>
      <w:r>
        <w:rPr>
          <w:rFonts w:asciiTheme="majorHAnsi" w:hAnsiTheme="majorHAnsi" w:cstheme="majorHAnsi"/>
          <w:sz w:val="20"/>
          <w:szCs w:val="20"/>
        </w:rPr>
        <w:instrText xml:space="preserve"> MERGEFIELD </w:instrText>
      </w:r>
      <w:r w:rsidR="00440D15">
        <w:rPr>
          <w:rFonts w:asciiTheme="majorHAnsi" w:hAnsiTheme="majorHAnsi" w:cstheme="majorHAnsi"/>
          <w:sz w:val="20"/>
          <w:szCs w:val="20"/>
        </w:rPr>
        <w:instrText>Target</w:instrText>
      </w:r>
      <w:r>
        <w:rPr>
          <w:rFonts w:asciiTheme="majorHAnsi" w:hAnsiTheme="majorHAnsi" w:cstheme="majorHAnsi"/>
          <w:sz w:val="20"/>
          <w:szCs w:val="20"/>
        </w:rPr>
        <w:instrText xml:space="preserve">Professions </w:instrText>
      </w:r>
      <w:r>
        <w:rPr>
          <w:rFonts w:asciiTheme="majorHAnsi" w:hAnsiTheme="majorHAnsi" w:cstheme="majorHAnsi"/>
          <w:sz w:val="20"/>
          <w:szCs w:val="20"/>
        </w:rPr>
        <w:fldChar w:fldCharType="separate"/>
      </w:r>
      <w:r>
        <w:rPr>
          <w:rFonts w:asciiTheme="majorHAnsi" w:hAnsiTheme="majorHAnsi" w:cstheme="majorHAnsi"/>
          <w:noProof/>
          <w:sz w:val="20"/>
          <w:szCs w:val="20"/>
        </w:rPr>
        <w:instrText>«TargetProfessions»</w:instrText>
      </w:r>
      <w:r>
        <w:rPr>
          <w:rFonts w:asciiTheme="majorHAnsi" w:hAnsiTheme="majorHAnsi" w:cstheme="majorHAnsi"/>
          <w:sz w:val="20"/>
          <w:szCs w:val="20"/>
        </w:rPr>
        <w:fldChar w:fldCharType="end"/>
      </w:r>
      <w:r>
        <w:rPr>
          <w:rFonts w:asciiTheme="majorHAnsi" w:hAnsiTheme="majorHAnsi" w:cstheme="majorHAnsi"/>
          <w:sz w:val="20"/>
          <w:szCs w:val="20"/>
        </w:rPr>
        <w:instrText>" ""</w:instrText>
      </w:r>
      <w:r>
        <w:rPr>
          <w:rFonts w:asciiTheme="majorHAnsi" w:hAnsiTheme="majorHAnsi" w:cstheme="majorHAnsi"/>
          <w:sz w:val="20"/>
          <w:szCs w:val="20"/>
        </w:rPr>
        <w:fldChar w:fldCharType="separate"/>
      </w:r>
      <w:r w:rsidR="004B359F">
        <w:rPr>
          <w:rFonts w:asciiTheme="majorHAnsi" w:hAnsiTheme="majorHAnsi" w:cstheme="majorHAnsi"/>
          <w:sz w:val="20"/>
          <w:szCs w:val="20"/>
        </w:rPr>
        <w:fldChar w:fldCharType="end"/>
      </w:r>
    </w:p>
    <w:p w:rsidR="00BA0CEE" w:rsidRPr="00BA0CEE" w:rsidP="00EB3966">
      <w:pPr>
        <w:pStyle w:val="NormalWeb"/>
        <w:spacing w:before="0" w:beforeAutospacing="0" w:after="0" w:afterAutospacing="0"/>
        <w:contextualSpacing/>
        <w:rPr>
          <w:rFonts w:ascii="Arial" w:hAnsi="Arial" w:cs="Arial"/>
          <w:sz w:val="10"/>
          <w:szCs w:val="10"/>
        </w:rPr>
      </w:pPr>
      <w:r w:rsidRPr="00E52130">
        <w:rPr>
          <w:rFonts w:ascii="Arial" w:hAnsi="Arial" w:cs="Arial"/>
          <w:b/>
          <w:bCs/>
          <w:sz w:val="20"/>
          <w:szCs w:val="20"/>
        </w:rPr>
        <w:br w:type="column"/>
      </w:r>
    </w:p>
    <w:p w:rsidR="00E51B46" w:rsidP="00EB3966">
      <w:pPr>
        <w:pStyle w:val="NormalWeb"/>
        <w:spacing w:before="0" w:beforeAutospacing="0" w:after="0" w:afterAutospacing="0"/>
        <w:contextualSpacing/>
        <w:rPr>
          <w:rFonts w:ascii="Arial" w:hAnsi="Arial" w:cs="Arial"/>
          <w:b/>
          <w:bCs/>
          <w:color w:val="223B82"/>
          <w:sz w:val="28"/>
          <w:szCs w:val="28"/>
        </w:rPr>
      </w:pPr>
      <w:r>
        <w:rPr>
          <w:rFonts w:ascii="Arial" w:hAnsi="Arial" w:cs="Arial"/>
          <w:b/>
          <w:bCs/>
          <w:color w:val="223B82"/>
          <w:sz w:val="28"/>
          <w:szCs w:val="28"/>
        </w:rPr>
        <w:t>Accreditation</w:t>
      </w:r>
    </w:p>
    <w:p w:rsidR="00E51B46" w:rsidP="00EB3966">
      <w:pPr>
        <w:pStyle w:val="NormalWeb"/>
        <w:spacing w:before="0" w:beforeAutospacing="0" w:after="0" w:afterAutospacing="0"/>
        <w:contextualSpacing/>
        <w:rPr>
          <w:rFonts w:asciiTheme="majorHAnsi" w:hAnsiTheme="majorHAnsi" w:cstheme="majorHAnsi"/>
          <w:color w:val="223B82"/>
          <w:sz w:val="10"/>
          <w:szCs w:val="10"/>
        </w:rPr>
      </w:pPr>
    </w:p>
    <w:p w:rsidR="006C4FB2"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noProof/>
          <w:color w:val="223B82"/>
          <w:sz w:val="16"/>
          <w:szCs w:val="16"/>
        </w:rPr>
        <w:drawing>
          <wp:anchor distT="0" distB="0" distL="0" distR="0" simplePos="0" relativeHeight="251658240" behindDoc="1" locked="0" layoutInCell="1" allowOverlap="1">
            <wp:simplePos x="0" y="0"/>
            <wp:positionH relativeFrom="column">
              <wp:posOffset>2540</wp:posOffset>
            </wp:positionH>
            <wp:positionV relativeFrom="paragraph">
              <wp:posOffset>44575</wp:posOffset>
            </wp:positionV>
            <wp:extent cx="1014730" cy="694690"/>
            <wp:effectExtent l="0" t="0" r="1270" b="0"/>
            <wp:wrapSquare wrapText="bothSides"/>
            <wp:docPr id="10" name="Picture 10" descr="Jointly Accredited Provider TM&#10;Interprofessional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Jointly Accredited Provider TM&#10;Interprofessional Continuing Education"/>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014730" cy="694690"/>
                    </a:xfrm>
                    <a:prstGeom prst="rect">
                      <a:avLst/>
                    </a:prstGeom>
                  </pic:spPr>
                </pic:pic>
              </a:graphicData>
            </a:graphic>
          </wp:anchor>
        </w:drawing>
      </w:r>
      <w:r w:rsidRPr="00E51B46" w:rsidR="006D6205">
        <w:rPr>
          <w:rFonts w:asciiTheme="majorHAnsi" w:hAnsiTheme="majorHAnsi" w:cstheme="majorHAnsi"/>
          <w:sz w:val="16"/>
          <w:szCs w:val="16"/>
        </w:rPr>
        <w:t>In support of improving patient care,</w: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IF </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w:instrText>
      </w:r>
      <w:r w:rsidR="00F03017">
        <w:rPr>
          <w:rFonts w:asciiTheme="majorHAnsi" w:hAnsiTheme="majorHAnsi" w:cstheme="majorHAnsi"/>
          <w:sz w:val="16"/>
          <w:szCs w:val="16"/>
        </w:rPr>
        <w:instrText xml:space="preserve"> &lt;&gt; "" " this activity has been planned and implemented by Ascension and </w:instrText>
      </w:r>
      <w:r w:rsidR="00F03017">
        <w:rPr>
          <w:rFonts w:asciiTheme="majorHAnsi" w:hAnsiTheme="majorHAnsi" w:cstheme="majorHAnsi"/>
          <w:sz w:val="16"/>
          <w:szCs w:val="16"/>
        </w:rPr>
        <w:fldChar w:fldCharType="begin"/>
      </w:r>
      <w:r w:rsidR="00F03017">
        <w:rPr>
          <w:rFonts w:asciiTheme="majorHAnsi" w:hAnsiTheme="majorHAnsi" w:cstheme="majorHAnsi"/>
          <w:sz w:val="16"/>
          <w:szCs w:val="16"/>
        </w:rPr>
        <w:instrText xml:space="preserve"> MERGEFIELD JointProviderName </w:instrText>
      </w:r>
      <w:r w:rsidR="00F03017">
        <w:rPr>
          <w:rFonts w:asciiTheme="majorHAnsi" w:hAnsiTheme="majorHAnsi" w:cstheme="majorHAnsi"/>
          <w:sz w:val="16"/>
          <w:szCs w:val="16"/>
        </w:rPr>
        <w:fldChar w:fldCharType="separate"/>
      </w:r>
      <w:r w:rsidR="00733EDA">
        <w:rPr>
          <w:rFonts w:asciiTheme="majorHAnsi" w:hAnsiTheme="majorHAnsi" w:cstheme="majorHAnsi"/>
          <w:noProof/>
          <w:sz w:val="16"/>
          <w:szCs w:val="16"/>
        </w:rPr>
        <w:instrText>«JointProviderName»</w:instrText>
      </w:r>
      <w:r w:rsidR="00F03017">
        <w:rPr>
          <w:rFonts w:asciiTheme="majorHAnsi" w:hAnsiTheme="majorHAnsi" w:cstheme="majorHAnsi"/>
          <w:sz w:val="16"/>
          <w:szCs w:val="16"/>
        </w:rPr>
        <w:fldChar w:fldCharType="end"/>
      </w:r>
      <w:r w:rsidR="00F03017">
        <w:rPr>
          <w:rFonts w:asciiTheme="majorHAnsi" w:hAnsiTheme="majorHAnsi" w:cstheme="majorHAnsi"/>
          <w:sz w:val="16"/>
          <w:szCs w:val="16"/>
        </w:rPr>
        <w:instrText xml:space="preserve">." "" </w:instrText>
      </w:r>
      <w:r w:rsidR="00F03017">
        <w:rPr>
          <w:rFonts w:asciiTheme="majorHAnsi" w:hAnsiTheme="majorHAnsi" w:cstheme="majorHAnsi"/>
          <w:sz w:val="16"/>
          <w:szCs w:val="16"/>
        </w:rPr>
        <w:fldChar w:fldCharType="separate"/>
      </w:r>
      <w:r w:rsidR="00F03017">
        <w:rPr>
          <w:rFonts w:asciiTheme="majorHAnsi" w:hAnsiTheme="majorHAnsi" w:cstheme="majorHAnsi"/>
          <w:sz w:val="16"/>
          <w:szCs w:val="16"/>
        </w:rPr>
        <w:fldChar w:fldCharType="end"/>
      </w:r>
      <w:r w:rsidR="00F03017">
        <w:rPr>
          <w:rFonts w:asciiTheme="majorHAnsi" w:hAnsiTheme="majorHAnsi" w:cstheme="majorHAnsi"/>
          <w:sz w:val="16"/>
          <w:szCs w:val="16"/>
        </w:rPr>
        <w:t xml:space="preserve"> </w:t>
      </w:r>
      <w:r w:rsidRPr="00E51B46" w:rsidR="006D6205">
        <w:rPr>
          <w:rFonts w:asciiTheme="majorHAnsi" w:hAnsiTheme="majorHAnsi" w:cstheme="majorHAnsi"/>
          <w:sz w:val="16"/>
          <w:szCs w:val="16"/>
        </w:rPr>
        <w:t>Ascension</w:t>
      </w:r>
      <w:r w:rsidR="006D6205">
        <w:rPr>
          <w:rFonts w:asciiTheme="majorHAnsi" w:hAnsiTheme="majorHAnsi" w:cstheme="majorHAnsi"/>
          <w:sz w:val="16"/>
          <w:szCs w:val="16"/>
        </w:rPr>
        <w:t xml:space="preserve"> is jointly accredited by the Accreditation Council for Continuing Medical Education (ACCME), the Accreditation Council for Pharmacy Education (ACPE), and the American Nurses Credentialing Center (ANCC), to provide continuing education for the healthcare team.</w: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IF </w:instrText>
      </w:r>
      <w:r w:rsidR="00605B87">
        <w:rPr>
          <w:rFonts w:asciiTheme="majorHAnsi" w:hAnsiTheme="majorHAnsi" w:cstheme="majorHAnsi"/>
          <w:sz w:val="16"/>
          <w:szCs w:val="16"/>
        </w:rPr>
        <w:fldChar w:fldCharType="begin"/>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 </w:instrText>
      </w:r>
      <w:r w:rsidR="00605B87">
        <w:rPr>
          <w:rFonts w:asciiTheme="majorHAnsi" w:hAnsiTheme="majorHAnsi" w:cstheme="majorHAnsi"/>
          <w:sz w:val="16"/>
          <w:szCs w:val="16"/>
        </w:rPr>
        <w:instrText>0.00</w:instrText>
      </w:r>
      <w:r w:rsidR="00605B87">
        <w:rPr>
          <w:rFonts w:asciiTheme="majorHAnsi" w:hAnsiTheme="majorHAnsi" w:cstheme="majorHAnsi"/>
          <w:sz w:val="16"/>
          <w:szCs w:val="16"/>
        </w:rPr>
        <w:instrText xml:space="preserve">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instrText>0</w:instrText>
      </w:r>
      <w:r w:rsidR="00605B87">
        <w:rPr>
          <w:rFonts w:asciiTheme="majorHAnsi" w:hAnsiTheme="majorHAnsi" w:cstheme="majorHAnsi"/>
          <w:sz w:val="16"/>
          <w:szCs w:val="16"/>
        </w:rPr>
        <w:fldChar w:fldCharType="end"/>
      </w:r>
      <w:r w:rsidR="00022247">
        <w:rPr>
          <w:rFonts w:asciiTheme="majorHAnsi" w:hAnsiTheme="majorHAnsi" w:cstheme="majorHAnsi"/>
          <w:sz w:val="16"/>
          <w:szCs w:val="16"/>
        </w:rPr>
        <w:instrText xml:space="preserve"> &gt; 0</w:instrText>
      </w:r>
      <w:r w:rsidR="00605B87">
        <w:rPr>
          <w:rFonts w:asciiTheme="majorHAnsi" w:hAnsiTheme="majorHAnsi" w:cstheme="majorHAnsi"/>
          <w:sz w:val="16"/>
          <w:szCs w:val="16"/>
        </w:rPr>
        <w:instrText xml:space="preserve"> </w:instrText>
      </w:r>
      <w:r w:rsidR="00022247">
        <w:rPr>
          <w:rFonts w:asciiTheme="majorHAnsi" w:hAnsiTheme="majorHAnsi" w:cstheme="majorHAnsi"/>
          <w:sz w:val="16"/>
          <w:szCs w:val="16"/>
        </w:rPr>
        <w:instrText>"</w:instrText>
      </w:r>
    </w:p>
    <w:p w:rsidR="006C4FB2" w:rsidP="00EB3966">
      <w:pPr>
        <w:pStyle w:val="NormalWeb"/>
        <w:spacing w:before="0" w:beforeAutospacing="0" w:after="0" w:afterAutospacing="0"/>
        <w:contextualSpacing/>
        <w:rPr>
          <w:rFonts w:asciiTheme="majorHAnsi" w:hAnsiTheme="majorHAnsi" w:cstheme="majorHAnsi"/>
          <w:sz w:val="16"/>
          <w:szCs w:val="16"/>
        </w:rPr>
      </w:pPr>
    </w:p>
    <w:p w:rsidR="006D6205" w:rsidRPr="006C4FB2" w:rsidP="00EB3966">
      <w:pPr>
        <w:pStyle w:val="NormalWeb"/>
        <w:spacing w:before="0" w:beforeAutospacing="0" w:after="0" w:afterAutospacing="0"/>
        <w:contextualSpacing/>
        <w:rPr>
          <w:rFonts w:asciiTheme="majorHAnsi" w:hAnsiTheme="majorHAnsi" w:cstheme="majorHAnsi"/>
          <w:sz w:val="16"/>
          <w:szCs w:val="16"/>
        </w:rPr>
      </w:pPr>
      <w:r w:rsidRPr="00022247">
        <w:rPr>
          <w:rFonts w:asciiTheme="majorHAnsi" w:hAnsiTheme="majorHAnsi" w:cstheme="majorHAnsi"/>
          <w:sz w:val="16"/>
          <w:szCs w:val="16"/>
        </w:rPr>
        <w:instrText>Genesys Regional Medical Center (GRMC) is accredited by the American Osteopathic Association to provide osteopathic continuing medical education for physicians.</w:instrText>
      </w:r>
      <w:r>
        <w:rPr>
          <w:rFonts w:asciiTheme="majorHAnsi" w:hAnsiTheme="majorHAnsi" w:cstheme="majorHAnsi"/>
          <w:sz w:val="16"/>
          <w:szCs w:val="16"/>
        </w:rPr>
        <w:instrText xml:space="preserve">" "" </w:instrText>
      </w:r>
      <w:r w:rsidR="00605B87">
        <w:rPr>
          <w:rFonts w:asciiTheme="majorHAnsi" w:hAnsiTheme="majorHAnsi" w:cstheme="majorHAnsi"/>
          <w:sz w:val="16"/>
          <w:szCs w:val="16"/>
        </w:rPr>
        <w:fldChar w:fldCharType="separate"/>
      </w:r>
      <w:r w:rsidR="00605B87">
        <w:rPr>
          <w:rFonts w:asciiTheme="majorHAnsi" w:hAnsiTheme="majorHAnsi" w:cstheme="majorHAnsi"/>
          <w:sz w:val="16"/>
          <w:szCs w:val="16"/>
        </w:rPr>
        <w:fldChar w:fldCharType="end"/>
      </w:r>
    </w:p>
    <w:p w:rsidR="00022247" w:rsidRPr="00E51B46" w:rsidP="00EB3966">
      <w:pPr>
        <w:pStyle w:val="NormalWeb"/>
        <w:spacing w:before="0" w:beforeAutospacing="0" w:after="0" w:afterAutospacing="0"/>
        <w:contextualSpacing/>
        <w:rPr>
          <w:rFonts w:asciiTheme="majorHAnsi" w:hAnsiTheme="majorHAnsi" w:cstheme="majorHAnsi"/>
          <w:color w:val="223B82"/>
          <w:sz w:val="10"/>
          <w:szCs w:val="10"/>
        </w:rPr>
      </w:pPr>
    </w:p>
    <w:p w:rsidR="00122D67" w:rsidRPr="00122D67" w:rsidP="00EB3966">
      <w:pPr>
        <w:pStyle w:val="NormalWeb"/>
        <w:spacing w:before="0" w:beforeAutospacing="0" w:after="0" w:afterAutospacing="0"/>
        <w:contextualSpacing/>
        <w:rPr>
          <w:rFonts w:ascii="Arial" w:hAnsi="Arial" w:cs="Arial"/>
          <w:color w:val="223B82"/>
          <w:sz w:val="20"/>
          <w:szCs w:val="20"/>
        </w:rPr>
      </w:pPr>
      <w:r>
        <w:rPr>
          <w:rFonts w:ascii="Arial" w:hAnsi="Arial" w:cs="Arial"/>
          <w:b/>
          <w:bCs/>
          <w:color w:val="223B82"/>
          <w:sz w:val="28"/>
          <w:szCs w:val="28"/>
        </w:rPr>
        <w:t>Credit designation</w:t>
      </w:r>
      <w:r w:rsidRPr="00314025">
        <w:rPr>
          <w:rFonts w:ascii="Arial" w:hAnsi="Arial" w:cs="Arial"/>
          <w:b/>
          <w:bCs/>
          <w:color w:val="223B82"/>
          <w:sz w:val="28"/>
          <w:szCs w:val="28"/>
        </w:rPr>
        <w:t>:</w:t>
      </w:r>
    </w:p>
    <w:p w:rsidR="00314025" w:rsidP="00EB3966">
      <w:pPr>
        <w:pStyle w:val="NormalWeb"/>
        <w:spacing w:before="0" w:beforeAutospacing="0" w:after="0" w:afterAutospacing="0"/>
        <w:contextualSpacing/>
        <w:rPr>
          <w:rFonts w:asciiTheme="majorHAnsi" w:hAnsiTheme="majorHAnsi" w:cstheme="majorHAnsi"/>
          <w:sz w:val="10"/>
          <w:szCs w:val="10"/>
        </w:rPr>
      </w:pPr>
    </w:p>
    <w:p w:rsidR="00092269" w:rsidP="00EB396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begin"/>
      </w:r>
      <w:r>
        <w:rPr>
          <w:rFonts w:asciiTheme="majorHAnsi" w:hAnsiTheme="majorHAnsi" w:cstheme="majorHAnsi"/>
          <w:sz w:val="16"/>
          <w:szCs w:val="16"/>
        </w:rPr>
        <w:instrText xml:space="preserve"> IF </w:instrText>
      </w:r>
      <w:r>
        <w:rPr>
          <w:rFonts w:asciiTheme="majorHAnsi" w:hAnsiTheme="majorHAnsi" w:cstheme="majorHAnsi"/>
          <w:sz w:val="16"/>
          <w:szCs w:val="16"/>
        </w:rPr>
        <w:instrText>0.75</w:instrText>
      </w:r>
      <w:r>
        <w:rPr>
          <w:rFonts w:asciiTheme="majorHAnsi" w:hAnsiTheme="majorHAnsi" w:cstheme="majorHAnsi"/>
          <w:sz w:val="16"/>
          <w:szCs w:val="16"/>
        </w:rPr>
        <w:instrText xml:space="preserve"> &gt; 0 "</w:instrText>
      </w:r>
      <w:r>
        <w:rPr>
          <w:rFonts w:asciiTheme="majorHAnsi" w:hAnsiTheme="majorHAnsi" w:cstheme="majorHAnsi"/>
          <w:noProof/>
          <w:sz w:val="16"/>
          <w:szCs w:val="16"/>
        </w:rPr>
        <w:drawing>
          <wp:anchor distT="0" distB="0" distL="0" distR="0" simplePos="0" relativeHeight="251668480"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20"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instrText xml:space="preserve">This activity was planned by and for the healthcare team, and learners will receive </w:instrText>
      </w:r>
      <w:r>
        <w:rPr>
          <w:rFonts w:asciiTheme="majorHAnsi" w:hAnsiTheme="majorHAnsi" w:cstheme="majorHAnsi"/>
          <w:sz w:val="16"/>
          <w:szCs w:val="16"/>
        </w:rPr>
        <w:instrText>0.75</w:instrText>
      </w:r>
      <w:r>
        <w:rPr>
          <w:rFonts w:asciiTheme="majorHAnsi" w:hAnsiTheme="majorHAnsi" w:cstheme="majorHAnsi"/>
          <w:sz w:val="16"/>
          <w:szCs w:val="16"/>
        </w:rPr>
        <w:instrText xml:space="preserve"> IPCE credit(s) for learning and change.</w:instrTex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R="0094313A"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instrText xml:space="preserve">" "" </w:instrText>
      </w:r>
      <w:r>
        <w:rPr>
          <w:rFonts w:asciiTheme="majorHAnsi" w:hAnsiTheme="majorHAnsi" w:cstheme="majorHAnsi"/>
          <w:sz w:val="16"/>
          <w:szCs w:val="16"/>
        </w:rPr>
        <w:fldChar w:fldCharType="separate"/>
      </w:r>
      <w:r>
        <w:rPr>
          <w:rFonts w:asciiTheme="majorHAnsi" w:hAnsiTheme="majorHAnsi" w:cstheme="majorHAnsi"/>
          <w:noProof/>
          <w:sz w:val="16"/>
          <w:szCs w:val="16"/>
        </w:rPr>
        <w:drawing>
          <wp:anchor distT="0" distB="0" distL="0" distR="0" simplePos="0" relativeHeight="251669504" behindDoc="0" locked="1" layoutInCell="1" allowOverlap="1">
            <wp:simplePos x="0" y="0"/>
            <wp:positionH relativeFrom="column">
              <wp:posOffset>10160</wp:posOffset>
            </wp:positionH>
            <wp:positionV relativeFrom="paragraph">
              <wp:posOffset>1270</wp:posOffset>
            </wp:positionV>
            <wp:extent cx="683895" cy="486410"/>
            <wp:effectExtent l="0" t="0" r="1905" b="0"/>
            <wp:wrapSquare wrapText="bothSides"/>
            <wp:docPr id="744526691" name="Picture 20" descr="IPCE Credit T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IPCE Credit TM"/>
                    <pic:cNvPicPr/>
                  </pic:nvPicPr>
                  <pic:blipFill>
                    <a:blip xmlns:r="http://schemas.openxmlformats.org/officeDocument/2006/relationships" r:embed="rId6" cstate="print">
                      <a:extLst>
                        <a:ext uri="{28A0092B-C50C-407E-A947-70E740481C1C}">
                          <a14:useLocalDpi xmlns:a14="http://schemas.microsoft.com/office/drawing/2010/main" val="0"/>
                        </a:ext>
                      </a:extLst>
                    </a:blip>
                    <a:stretch>
                      <a:fillRect/>
                    </a:stretch>
                  </pic:blipFill>
                  <pic:spPr>
                    <a:xfrm>
                      <a:off x="0" y="0"/>
                      <a:ext cx="683895" cy="486410"/>
                    </a:xfrm>
                    <a:prstGeom prst="rect">
                      <a:avLst/>
                    </a:prstGeom>
                  </pic:spPr>
                </pic:pic>
              </a:graphicData>
            </a:graphic>
          </wp:anchor>
        </w:drawing>
      </w:r>
      <w:r>
        <w:rPr>
          <w:rFonts w:asciiTheme="majorHAnsi" w:hAnsiTheme="majorHAnsi" w:cstheme="majorHAnsi"/>
          <w:sz w:val="16"/>
          <w:szCs w:val="16"/>
        </w:rPr>
        <w:t xml:space="preserve">This activity was planned by and for the healthcare team, and learners will receive </w:t>
      </w:r>
      <w:r>
        <w:rPr>
          <w:rFonts w:asciiTheme="majorHAnsi" w:hAnsiTheme="majorHAnsi" w:cstheme="majorHAnsi"/>
          <w:sz w:val="16"/>
          <w:szCs w:val="16"/>
        </w:rPr>
        <w:t>0.75</w:t>
      </w:r>
      <w:r>
        <w:rPr>
          <w:rFonts w:asciiTheme="majorHAnsi" w:hAnsiTheme="majorHAnsi" w:cstheme="majorHAnsi"/>
          <w:sz w:val="16"/>
          <w:szCs w:val="16"/>
        </w:rPr>
        <w:t xml:space="preserve"> IPCE credit(s) for learning and change.</w:t>
      </w:r>
    </w:p>
    <w:p w:rsidR="00092269" w:rsidRPr="00092269" w:rsidP="00EB3966">
      <w:pPr>
        <w:pStyle w:val="NormalWeb"/>
        <w:spacing w:before="0" w:beforeAutospacing="0" w:after="0" w:afterAutospacing="0"/>
        <w:contextualSpacing/>
        <w:rPr>
          <w:rFonts w:asciiTheme="majorHAnsi" w:hAnsiTheme="majorHAnsi" w:cstheme="majorHAnsi"/>
          <w:sz w:val="10"/>
          <w:szCs w:val="10"/>
        </w:rPr>
      </w:pPr>
    </w:p>
    <w:p w:rsidP="00D27AC6">
      <w:pPr>
        <w:pStyle w:val="NormalWeb"/>
        <w:spacing w:before="0" w:beforeAutospacing="0" w:after="0" w:afterAutospacing="0"/>
        <w:contextualSpacing/>
        <w:rPr>
          <w:rFonts w:asciiTheme="majorHAnsi" w:hAnsiTheme="majorHAnsi" w:cstheme="majorHAnsi"/>
          <w:sz w:val="16"/>
          <w:szCs w:val="16"/>
        </w:rPr>
      </w:pPr>
      <w:r>
        <w:rPr>
          <w:rFonts w:asciiTheme="majorHAnsi" w:hAnsiTheme="majorHAnsi" w:cstheme="majorHAnsi"/>
          <w:sz w:val="16"/>
          <w:szCs w:val="16"/>
        </w:rPr>
        <w:fldChar w:fldCharType="end"/>
      </w:r>
      <w:r w:rsidRPr="003428F9" w:rsidR="003428F9">
        <w:rPr>
          <w:rFonts w:asciiTheme="majorHAnsi" w:hAnsiTheme="majorHAnsi" w:cstheme="majorHAnsi"/>
          <w:sz w:val="16"/>
          <w:szCs w:val="16"/>
        </w:rPr>
        <w:fldChar w:fldCharType="begin"/>
      </w:r>
      <w:r w:rsidRPr="003428F9" w:rsidR="003428F9">
        <w:rPr>
          <w:rFonts w:asciiTheme="majorHAnsi" w:hAnsiTheme="majorHAnsi" w:cstheme="majorHAnsi"/>
          <w:sz w:val="16"/>
          <w:szCs w:val="16"/>
        </w:rPr>
        <w:instrText xml:space="preserve"> </w:instrText>
      </w:r>
      <w:r w:rsidR="003428F9">
        <w:rPr>
          <w:rFonts w:asciiTheme="majorHAnsi" w:hAnsiTheme="majorHAnsi" w:cstheme="majorHAnsi"/>
          <w:sz w:val="16"/>
          <w:szCs w:val="16"/>
        </w:rPr>
        <w:instrText xml:space="preserve">IF </w:instrText>
      </w:r>
      <w:r w:rsidR="003428F9">
        <w:rPr>
          <w:rFonts w:asciiTheme="majorHAnsi" w:hAnsiTheme="majorHAnsi" w:cstheme="majorHAnsi"/>
          <w:sz w:val="16"/>
          <w:szCs w:val="16"/>
        </w:rPr>
        <w:instrText>0.75</w:instrText>
      </w:r>
      <w:r w:rsidR="003428F9">
        <w:rPr>
          <w:rFonts w:asciiTheme="majorHAnsi" w:hAnsiTheme="majorHAnsi" w:cstheme="majorHAnsi"/>
          <w:sz w:val="16"/>
          <w:szCs w:val="16"/>
        </w:rPr>
        <w:instrText xml:space="preserve"> &gt; 0 "</w:instrText>
      </w:r>
      <w:r w:rsidR="00C83154">
        <w:rPr>
          <w:rFonts w:asciiTheme="majorHAnsi" w:hAnsiTheme="majorHAnsi" w:cstheme="majorHAnsi"/>
          <w:noProof/>
          <w:sz w:val="16"/>
          <w:szCs w:val="16"/>
        </w:rPr>
        <w:drawing>
          <wp:anchor distT="0" distB="0" distL="0" distR="27305" simplePos="0" relativeHeight="251659264"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15"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instrText xml:space="preserve">Ascension designates this </w:instrText>
      </w:r>
      <w:r w:rsidR="003428F9">
        <w:rPr>
          <w:rFonts w:asciiTheme="majorHAnsi" w:hAnsiTheme="majorHAnsi" w:cstheme="majorHAnsi"/>
          <w:sz w:val="16"/>
          <w:szCs w:val="16"/>
        </w:rPr>
        <w:instrText>Enduring Material</w:instrText>
      </w:r>
      <w:r w:rsidR="003428F9">
        <w:rPr>
          <w:rFonts w:asciiTheme="majorHAnsi" w:hAnsiTheme="majorHAnsi" w:cstheme="majorHAnsi"/>
          <w:sz w:val="16"/>
          <w:szCs w:val="16"/>
        </w:rPr>
        <w:instrText xml:space="preserve"> for a maximum of </w:instrText>
      </w:r>
      <w:r w:rsidR="003428F9">
        <w:rPr>
          <w:rFonts w:asciiTheme="majorHAnsi" w:hAnsiTheme="majorHAnsi" w:cstheme="majorHAnsi"/>
          <w:sz w:val="16"/>
          <w:szCs w:val="16"/>
        </w:rPr>
        <w:instrText>0.75</w:instrText>
      </w:r>
      <w:r w:rsidR="003428F9">
        <w:rPr>
          <w:rFonts w:asciiTheme="majorHAnsi" w:hAnsiTheme="majorHAnsi" w:cstheme="majorHAnsi"/>
          <w:sz w:val="16"/>
          <w:szCs w:val="16"/>
        </w:rPr>
        <w:instrText xml:space="preserve"> </w:instrText>
      </w:r>
      <w:r w:rsidR="003428F9">
        <w:rPr>
          <w:rFonts w:asciiTheme="majorHAnsi" w:hAnsiTheme="majorHAnsi" w:cstheme="majorHAnsi"/>
          <w:i/>
          <w:iCs/>
          <w:sz w:val="16"/>
          <w:szCs w:val="16"/>
        </w:rPr>
        <w:instrText>AMA PRA Category 1 Credit(s)</w:instrText>
      </w:r>
      <w:r w:rsidR="003428F9">
        <w:rPr>
          <w:rFonts w:ascii="Calibri Light" w:hAnsi="Calibri Light" w:cs="Calibri Light"/>
          <w:i/>
          <w:iCs/>
          <w:sz w:val="16"/>
          <w:szCs w:val="16"/>
        </w:rPr>
        <w:instrText>™</w:instrText>
      </w:r>
      <w:r w:rsidR="003428F9">
        <w:rPr>
          <w:rFonts w:asciiTheme="majorHAnsi" w:hAnsiTheme="majorHAnsi" w:cstheme="majorHAnsi"/>
          <w:sz w:val="16"/>
          <w:szCs w:val="16"/>
        </w:rPr>
        <w:instrText>. Physicians should claim only the credit commensurate with the exten</w:instrText>
      </w:r>
      <w:r w:rsidR="00C83154">
        <w:rPr>
          <w:rFonts w:asciiTheme="majorHAnsi" w:hAnsiTheme="majorHAnsi" w:cstheme="majorHAnsi"/>
          <w:sz w:val="16"/>
          <w:szCs w:val="16"/>
        </w:rPr>
        <w:instrText>t of their participation in the activity.</w:instrTex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00F754C3" w:rsidRPr="0094313A" w:rsidP="00EB3966">
      <w:pPr>
        <w:pStyle w:val="NormalWeb"/>
        <w:spacing w:before="0" w:beforeAutospacing="0" w:after="0" w:afterAutospacing="0"/>
        <w:contextualSpacing/>
        <w:rPr>
          <w:sz w:val="16"/>
          <w:szCs w:val="16"/>
        </w:rPr>
      </w:pPr>
      <w:r>
        <w:rPr>
          <w:rFonts w:asciiTheme="majorHAnsi" w:hAnsiTheme="majorHAnsi" w:cstheme="majorHAnsi"/>
          <w:sz w:val="16"/>
          <w:szCs w:val="16"/>
        </w:rPr>
        <w:instrText>" ""</w:instrText>
      </w:r>
      <w:r w:rsidRPr="003428F9">
        <w:rPr>
          <w:rFonts w:asciiTheme="majorHAnsi" w:hAnsiTheme="majorHAnsi" w:cstheme="majorHAnsi"/>
          <w:sz w:val="16"/>
          <w:szCs w:val="16"/>
        </w:rPr>
        <w:instrText xml:space="preserve"> </w:instrText>
      </w:r>
      <w:r w:rsidRPr="003428F9">
        <w:rPr>
          <w:rFonts w:asciiTheme="majorHAnsi" w:hAnsiTheme="majorHAnsi" w:cstheme="majorHAnsi"/>
          <w:sz w:val="16"/>
          <w:szCs w:val="16"/>
        </w:rPr>
        <w:fldChar w:fldCharType="separate"/>
      </w:r>
      <w:r w:rsidR="00C83154">
        <w:rPr>
          <w:rFonts w:asciiTheme="majorHAnsi" w:hAnsiTheme="majorHAnsi" w:cstheme="majorHAnsi"/>
          <w:noProof/>
          <w:sz w:val="16"/>
          <w:szCs w:val="16"/>
        </w:rPr>
        <w:drawing>
          <wp:anchor distT="0" distB="0" distL="0" distR="27305" simplePos="0" relativeHeight="251660288" behindDoc="0" locked="1" layoutInCell="1" allowOverlap="1">
            <wp:simplePos x="0" y="0"/>
            <wp:positionH relativeFrom="column">
              <wp:posOffset>-4445</wp:posOffset>
            </wp:positionH>
            <wp:positionV relativeFrom="paragraph">
              <wp:posOffset>38100</wp:posOffset>
            </wp:positionV>
            <wp:extent cx="353060" cy="453390"/>
            <wp:effectExtent l="0" t="0" r="0" b="3810"/>
            <wp:wrapSquare wrapText="bothSides"/>
            <wp:docPr id="717363017" name="Picture 15" descr="ACCME 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CCME Accredited"/>
                    <pic:cNvPicPr/>
                  </pic:nvPicPr>
                  <pic:blipFill>
                    <a:blip xmlns:r="http://schemas.openxmlformats.org/officeDocument/2006/relationships" r:embed="rId7" cstate="print">
                      <a:extLst>
                        <a:ext uri="{28A0092B-C50C-407E-A947-70E740481C1C}">
                          <a14:useLocalDpi xmlns:a14="http://schemas.microsoft.com/office/drawing/2010/main" val="0"/>
                        </a:ext>
                      </a:extLst>
                    </a:blip>
                    <a:stretch>
                      <a:fillRect/>
                    </a:stretch>
                  </pic:blipFill>
                  <pic:spPr>
                    <a:xfrm>
                      <a:off x="0" y="0"/>
                      <a:ext cx="353060" cy="453390"/>
                    </a:xfrm>
                    <a:prstGeom prst="rect">
                      <a:avLst/>
                    </a:prstGeom>
                  </pic:spPr>
                </pic:pic>
              </a:graphicData>
            </a:graphic>
          </wp:anchor>
        </w:drawing>
      </w:r>
      <w:r w:rsidR="003428F9">
        <w:rPr>
          <w:rFonts w:asciiTheme="majorHAnsi" w:hAnsiTheme="majorHAnsi" w:cstheme="majorHAnsi"/>
          <w:sz w:val="16"/>
          <w:szCs w:val="16"/>
        </w:rPr>
        <w:t xml:space="preserve">Ascension designates this </w:t>
      </w:r>
      <w:r w:rsidR="003428F9">
        <w:rPr>
          <w:rFonts w:asciiTheme="majorHAnsi" w:hAnsiTheme="majorHAnsi" w:cstheme="majorHAnsi"/>
          <w:sz w:val="16"/>
          <w:szCs w:val="16"/>
        </w:rPr>
        <w:t>Enduring Material</w:t>
      </w:r>
      <w:r w:rsidR="003428F9">
        <w:rPr>
          <w:rFonts w:asciiTheme="majorHAnsi" w:hAnsiTheme="majorHAnsi" w:cstheme="majorHAnsi"/>
          <w:sz w:val="16"/>
          <w:szCs w:val="16"/>
        </w:rPr>
        <w:t xml:space="preserve"> for a maximum of </w:t>
      </w:r>
      <w:r w:rsidR="003428F9">
        <w:rPr>
          <w:rFonts w:asciiTheme="majorHAnsi" w:hAnsiTheme="majorHAnsi" w:cstheme="majorHAnsi"/>
          <w:sz w:val="16"/>
          <w:szCs w:val="16"/>
        </w:rPr>
        <w:t>0.75</w:t>
      </w:r>
      <w:r w:rsidR="003428F9">
        <w:rPr>
          <w:rFonts w:asciiTheme="majorHAnsi" w:hAnsiTheme="majorHAnsi" w:cstheme="majorHAnsi"/>
          <w:sz w:val="16"/>
          <w:szCs w:val="16"/>
        </w:rPr>
        <w:t xml:space="preserve"> </w:t>
      </w:r>
      <w:r w:rsidR="003428F9">
        <w:rPr>
          <w:rFonts w:asciiTheme="majorHAnsi" w:hAnsiTheme="majorHAnsi" w:cstheme="majorHAnsi"/>
          <w:i/>
          <w:iCs/>
          <w:sz w:val="16"/>
          <w:szCs w:val="16"/>
        </w:rPr>
        <w:t>AMA PRA Category 1 Credit(s)</w:t>
      </w:r>
      <w:r w:rsidR="003428F9">
        <w:rPr>
          <w:rFonts w:ascii="Calibri Light" w:hAnsi="Calibri Light" w:cs="Calibri Light"/>
          <w:i/>
          <w:iCs/>
          <w:sz w:val="16"/>
          <w:szCs w:val="16"/>
        </w:rPr>
        <w:t>™</w:t>
      </w:r>
      <w:r w:rsidR="003428F9">
        <w:rPr>
          <w:rFonts w:asciiTheme="majorHAnsi" w:hAnsiTheme="majorHAnsi" w:cstheme="majorHAnsi"/>
          <w:sz w:val="16"/>
          <w:szCs w:val="16"/>
        </w:rPr>
        <w:t>. Physicians should claim only the credit commensurate with the exten</w:t>
      </w:r>
      <w:r w:rsidR="00C83154">
        <w:rPr>
          <w:rFonts w:asciiTheme="majorHAnsi" w:hAnsiTheme="majorHAnsi" w:cstheme="majorHAnsi"/>
          <w:sz w:val="16"/>
          <w:szCs w:val="16"/>
        </w:rPr>
        <w:t>t of their participation in the activity.</w:t>
      </w:r>
    </w:p>
    <w:p w:rsidR="0094313A" w:rsidRPr="0094313A" w:rsidP="00D27AC6">
      <w:pPr>
        <w:pStyle w:val="NormalWeb"/>
        <w:spacing w:before="0" w:beforeAutospacing="0" w:after="0" w:afterAutospacing="0"/>
        <w:contextualSpacing/>
        <w:rPr>
          <w:rFonts w:asciiTheme="majorHAnsi" w:hAnsiTheme="majorHAnsi" w:cstheme="majorHAnsi"/>
          <w:sz w:val="10"/>
          <w:szCs w:val="10"/>
        </w:rPr>
      </w:pPr>
    </w:p>
    <w:p w:rsidRPr="003428F9" w:rsidP="00EB3966">
      <w:pPr>
        <w:pStyle w:val="NormalWeb"/>
        <w:spacing w:before="0" w:beforeAutospacing="0" w:after="0" w:afterAutospacing="0"/>
        <w:contextualSpacing/>
        <w:rPr>
          <w:rFonts w:asciiTheme="majorHAnsi" w:hAnsiTheme="majorHAnsi" w:cstheme="majorHAnsi"/>
          <w:sz w:val="16"/>
          <w:szCs w:val="16"/>
        </w:rPr>
      </w:pPr>
      <w:r w:rsidRPr="003428F9">
        <w:rPr>
          <w:rFonts w:asciiTheme="majorHAnsi" w:hAnsiTheme="majorHAnsi" w:cstheme="majorHAnsi"/>
          <w:sz w:val="16"/>
          <w:szCs w:val="16"/>
        </w:rPr>
        <w:fldChar w:fldCharType="end"/>
      </w:r>
      <w:r w:rsidRPr="00F754C3" w:rsidR="00F754C3">
        <w:rPr>
          <w:rFonts w:asciiTheme="majorHAnsi" w:hAnsiTheme="majorHAnsi" w:cstheme="majorHAnsi"/>
          <w:sz w:val="16"/>
          <w:szCs w:val="16"/>
        </w:rPr>
        <w:fldChar w:fldCharType="begin"/>
      </w:r>
      <w:r w:rsidRPr="00F754C3" w:rsid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0.75</w:instrText>
      </w:r>
      <w:r w:rsidRPr="00F754C3" w:rsidR="00F754C3">
        <w:rPr>
          <w:rFonts w:asciiTheme="majorHAnsi" w:hAnsiTheme="majorHAnsi" w:cstheme="majorHAnsi"/>
          <w:sz w:val="16"/>
          <w:szCs w:val="16"/>
        </w:rPr>
        <w:instrText xml:space="preserve"> &gt; 0 "</w:instrText>
      </w:r>
      <w:r w:rsidR="0094313A">
        <w:rPr>
          <w:rFonts w:asciiTheme="majorHAnsi" w:hAnsiTheme="majorHAnsi" w:cstheme="majorHAnsi"/>
          <w:noProof/>
          <w:sz w:val="16"/>
          <w:szCs w:val="16"/>
        </w:rPr>
        <w:drawing>
          <wp:anchor distT="0" distB="0" distL="0" distR="0" simplePos="0" relativeHeight="251661312"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16"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sidR="00F754C3">
        <w:rPr>
          <w:rFonts w:asciiTheme="majorHAnsi" w:hAnsiTheme="majorHAnsi" w:cstheme="majorHAnsi"/>
          <w:sz w:val="16"/>
          <w:szCs w:val="16"/>
        </w:rPr>
        <w:instrText xml:space="preserve">This activity is awarded </w:instrText>
      </w:r>
      <w:r w:rsidRPr="00F754C3" w:rsidR="00F754C3">
        <w:rPr>
          <w:rFonts w:asciiTheme="majorHAnsi" w:hAnsiTheme="majorHAnsi" w:cstheme="majorHAnsi"/>
          <w:sz w:val="16"/>
          <w:szCs w:val="16"/>
        </w:rPr>
        <w:instrText>0.75</w:instrText>
      </w:r>
      <w:r w:rsidR="00F8142C">
        <w:rPr>
          <w:rFonts w:asciiTheme="majorHAnsi" w:hAnsiTheme="majorHAnsi" w:cstheme="majorHAnsi"/>
          <w:sz w:val="16"/>
          <w:szCs w:val="16"/>
        </w:rPr>
        <w:instrText xml:space="preserve"> ANCC</w:instrText>
      </w:r>
      <w:r w:rsidRPr="00F754C3" w:rsidR="00F754C3">
        <w:rPr>
          <w:rFonts w:asciiTheme="majorHAnsi" w:hAnsiTheme="majorHAnsi" w:cstheme="majorHAnsi"/>
          <w:sz w:val="16"/>
          <w:szCs w:val="16"/>
        </w:rPr>
        <w:instrText xml:space="preserve"> contact hour</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s</w:instrText>
      </w:r>
      <w:r w:rsidR="0094313A">
        <w:rPr>
          <w:rFonts w:asciiTheme="majorHAnsi" w:hAnsiTheme="majorHAnsi" w:cstheme="majorHAnsi"/>
          <w:sz w:val="16"/>
          <w:szCs w:val="16"/>
        </w:rPr>
        <w:instrText>)</w:instrText>
      </w:r>
      <w:r w:rsidRPr="00F754C3" w:rsidR="00F754C3">
        <w:rPr>
          <w:rFonts w:asciiTheme="majorHAnsi" w:hAnsiTheme="majorHAnsi" w:cstheme="majorHAnsi"/>
          <w:sz w:val="16"/>
          <w:szCs w:val="16"/>
        </w:rPr>
        <w:instrText>. (based on 60 minutes per contact hour)</w:instrTex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4313A">
        <w:rPr>
          <w:rFonts w:asciiTheme="majorHAnsi" w:hAnsiTheme="majorHAnsi" w:cstheme="majorHAnsi"/>
          <w:noProof/>
          <w:sz w:val="16"/>
          <w:szCs w:val="16"/>
        </w:rPr>
        <w:drawing>
          <wp:anchor distT="0" distB="0" distL="0" distR="0" simplePos="0" relativeHeight="251662336" behindDoc="0" locked="1" layoutInCell="1" allowOverlap="1">
            <wp:simplePos x="0" y="0"/>
            <wp:positionH relativeFrom="column">
              <wp:posOffset>2540</wp:posOffset>
            </wp:positionH>
            <wp:positionV relativeFrom="paragraph">
              <wp:posOffset>7620</wp:posOffset>
            </wp:positionV>
            <wp:extent cx="1323340" cy="316230"/>
            <wp:effectExtent l="0" t="0" r="0" b="1270"/>
            <wp:wrapSquare wrapText="bothSides"/>
            <wp:docPr id="360312579" name="Picture 16" descr="ANCC&#10;American Nurses Credentialing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NCC&#10;American Nurses Credentialing Center"/>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323340" cy="316230"/>
                    </a:xfrm>
                    <a:prstGeom prst="rect">
                      <a:avLst/>
                    </a:prstGeom>
                  </pic:spPr>
                </pic:pic>
              </a:graphicData>
            </a:graphic>
          </wp:anchor>
        </w:drawing>
      </w:r>
      <w:r w:rsidRPr="00F754C3">
        <w:rPr>
          <w:rFonts w:asciiTheme="majorHAnsi" w:hAnsiTheme="majorHAnsi" w:cstheme="majorHAnsi"/>
          <w:sz w:val="16"/>
          <w:szCs w:val="16"/>
        </w:rPr>
        <w:t xml:space="preserve">This activity is awarded </w:t>
      </w:r>
      <w:r w:rsidRPr="00F754C3">
        <w:rPr>
          <w:rFonts w:asciiTheme="majorHAnsi" w:hAnsiTheme="majorHAnsi" w:cstheme="majorHAnsi"/>
          <w:sz w:val="16"/>
          <w:szCs w:val="16"/>
        </w:rPr>
        <w:t>0.75</w:t>
      </w:r>
      <w:r w:rsidR="00F8142C">
        <w:rPr>
          <w:rFonts w:asciiTheme="majorHAnsi" w:hAnsiTheme="majorHAnsi" w:cstheme="majorHAnsi"/>
          <w:sz w:val="16"/>
          <w:szCs w:val="16"/>
        </w:rPr>
        <w:t xml:space="preserve"> ANCC</w:t>
      </w:r>
      <w:r w:rsidRPr="00F754C3">
        <w:rPr>
          <w:rFonts w:asciiTheme="majorHAnsi" w:hAnsiTheme="majorHAnsi" w:cstheme="majorHAnsi"/>
          <w:sz w:val="16"/>
          <w:szCs w:val="16"/>
        </w:rPr>
        <w:t xml:space="preserve"> contact hour</w:t>
      </w:r>
      <w:r w:rsidR="0094313A">
        <w:rPr>
          <w:rFonts w:asciiTheme="majorHAnsi" w:hAnsiTheme="majorHAnsi" w:cstheme="majorHAnsi"/>
          <w:sz w:val="16"/>
          <w:szCs w:val="16"/>
        </w:rPr>
        <w:t>(</w:t>
      </w:r>
      <w:r w:rsidRPr="00F754C3">
        <w:rPr>
          <w:rFonts w:asciiTheme="majorHAnsi" w:hAnsiTheme="majorHAnsi" w:cstheme="majorHAnsi"/>
          <w:sz w:val="16"/>
          <w:szCs w:val="16"/>
        </w:rPr>
        <w:t>s</w:t>
      </w:r>
      <w:r w:rsidR="0094313A">
        <w:rPr>
          <w:rFonts w:asciiTheme="majorHAnsi" w:hAnsiTheme="majorHAnsi" w:cstheme="majorHAnsi"/>
          <w:sz w:val="16"/>
          <w:szCs w:val="16"/>
        </w:rPr>
        <w:t>)</w:t>
      </w:r>
      <w:r w:rsidRPr="00F754C3">
        <w:rPr>
          <w:rFonts w:asciiTheme="majorHAnsi" w:hAnsiTheme="majorHAnsi" w:cstheme="majorHAnsi"/>
          <w:sz w:val="16"/>
          <w:szCs w:val="16"/>
        </w:rPr>
        <w:t>. (based on 60 minutes per contact hour)</w:t>
      </w:r>
    </w:p>
    <w:p w:rsidR="00F754C3" w:rsidRPr="0094313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0.00</w:instrText>
      </w:r>
      <w:r w:rsidRPr="00F754C3">
        <w:rPr>
          <w:rFonts w:asciiTheme="majorHAnsi" w:hAnsiTheme="majorHAnsi" w:cstheme="majorHAnsi"/>
          <w:sz w:val="16"/>
          <w:szCs w:val="16"/>
        </w:rPr>
        <w:instrText xml:space="preserve"> &gt; 0 "</w:instrText>
      </w:r>
      <w:r w:rsidR="00DB4085">
        <w:rPr>
          <w:rFonts w:asciiTheme="majorHAnsi" w:hAnsiTheme="majorHAnsi" w:cstheme="majorHAnsi"/>
          <w:noProof/>
          <w:sz w:val="16"/>
          <w:szCs w:val="16"/>
        </w:rPr>
        <w:drawing>
          <wp:anchor distT="0" distB="0" distL="0" distR="0" simplePos="0" relativeHeight="251663360" behindDoc="0" locked="1" layoutInCell="1" allowOverlap="1">
            <wp:simplePos x="0" y="0"/>
            <wp:positionH relativeFrom="column">
              <wp:posOffset>9525</wp:posOffset>
            </wp:positionH>
            <wp:positionV relativeFrom="paragraph">
              <wp:posOffset>27305</wp:posOffset>
            </wp:positionV>
            <wp:extent cx="914400" cy="447675"/>
            <wp:effectExtent l="0" t="0" r="0" b="0"/>
            <wp:wrapSquare wrapText="bothSides"/>
            <wp:docPr id="17" name="Picture 17" descr="A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APA"/>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29476" b="33040"/>
                    <a:stretch/>
                  </pic:blipFill>
                  <pic:spPr bwMode="auto">
                    <a:xfrm>
                      <a:off x="0" y="0"/>
                      <a:ext cx="914400" cy="447675"/>
                    </a:xfrm>
                    <a:prstGeom prst="rect">
                      <a:avLst/>
                    </a:prstGeom>
                    <a:ln>
                      <a:noFill/>
                    </a:ln>
                    <a:extLst>
                      <a:ext uri="{53640926-AAD7-44D8-BBD7-CCE9431645EC}">
                        <a14:shadowObscured xmlns:a14="http://schemas.microsoft.com/office/drawing/2010/main"/>
                      </a:ext>
                    </a:extLst>
                  </pic:spPr>
                </pic:pic>
              </a:graphicData>
            </a:graphic>
          </wp:anchor>
        </w:drawing>
      </w:r>
      <w:r w:rsidRPr="00F754C3">
        <w:rPr>
          <w:rFonts w:asciiTheme="majorHAnsi" w:hAnsiTheme="majorHAnsi" w:cstheme="majorHAnsi"/>
          <w:sz w:val="16"/>
          <w:szCs w:val="16"/>
        </w:rPr>
        <w:instrText xml:space="preserve">Ascension has been authorized by the American Academy of PAs (AAPA) to award AAPA Category 1 CME credit for activities planned in accordance with AAPA CME Criteria. This activity is designated for </w:instrText>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MERGEFIELD AAPAHoursMax \</w:instrText>
      </w:r>
      <w:r w:rsidR="009A3DCE">
        <w:rPr>
          <w:rFonts w:asciiTheme="majorHAnsi" w:hAnsiTheme="majorHAnsi" w:cstheme="majorHAnsi"/>
          <w:sz w:val="16"/>
          <w:szCs w:val="16"/>
        </w:rPr>
        <w:instrText># 0.00#</w:instrText>
      </w:r>
      <w:r w:rsidRPr="00F754C3">
        <w:rPr>
          <w:rFonts w:asciiTheme="majorHAnsi" w:hAnsiTheme="majorHAnsi" w:cstheme="majorHAnsi"/>
          <w:sz w:val="16"/>
          <w:szCs w:val="16"/>
        </w:rPr>
        <w:instrText xml:space="preserve">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instrText>«AAPAHoursMax»</w:instrText>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instrText xml:space="preserve"> AAPA Category 1 CME credits. PAs should only claim credit commensurate with the extent of their participation.</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F754C3"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0.75</w:instrText>
      </w:r>
      <w:r w:rsidRPr="00F754C3">
        <w:rPr>
          <w:rFonts w:asciiTheme="majorHAnsi" w:hAnsiTheme="majorHAnsi" w:cstheme="majorHAnsi"/>
          <w:sz w:val="16"/>
          <w:szCs w:val="16"/>
        </w:rPr>
        <w:instrText xml:space="preserve"> &gt; 0 "</w:instrText>
      </w:r>
      <w:r w:rsidR="009A3DCE">
        <w:rPr>
          <w:rFonts w:asciiTheme="majorHAnsi" w:hAnsiTheme="majorHAnsi" w:cstheme="majorHAnsi"/>
          <w:noProof/>
          <w:sz w:val="16"/>
          <w:szCs w:val="16"/>
        </w:rPr>
        <w:drawing>
          <wp:anchor distT="0" distB="0" distL="27305" distR="27305" simplePos="0" relativeHeight="251664384"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18"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instrText xml:space="preserve">This knowledge-based activity qualifies for </w:instrText>
      </w:r>
      <w:r w:rsidRPr="00F754C3">
        <w:rPr>
          <w:rFonts w:asciiTheme="majorHAnsi" w:hAnsiTheme="majorHAnsi" w:cstheme="majorHAnsi"/>
          <w:sz w:val="16"/>
          <w:szCs w:val="16"/>
        </w:rPr>
        <w:instrText>0.75</w:instrText>
      </w:r>
      <w:r w:rsidRPr="00F754C3">
        <w:rPr>
          <w:rFonts w:asciiTheme="majorHAnsi" w:hAnsiTheme="majorHAnsi" w:cstheme="majorHAnsi"/>
          <w:sz w:val="16"/>
          <w:szCs w:val="16"/>
        </w:rPr>
        <w:instrText xml:space="preserve"> contact hours of continuing pharmacy education credit.</w:instrText>
      </w:r>
      <w:r w:rsidR="009A3DCE">
        <w:rPr>
          <w:rFonts w:asciiTheme="majorHAnsi" w:hAnsiTheme="majorHAnsi" w:cstheme="majorHAnsi"/>
          <w:sz w:val="16"/>
          <w:szCs w:val="16"/>
        </w:rPr>
        <w:instrText xml:space="preserve"> </w:instrText>
      </w:r>
      <w:r w:rsidRPr="00F754C3">
        <w:rPr>
          <w:rFonts w:asciiTheme="majorHAnsi" w:hAnsiTheme="majorHAnsi" w:cstheme="majorHAnsi"/>
          <w:sz w:val="16"/>
          <w:szCs w:val="16"/>
        </w:rPr>
        <w:instrText>Pharmacy CE credits will be submitted electronically to the NABP upon successful completion of the activity.</w:instrTex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004914AA"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9A3DCE">
        <w:rPr>
          <w:rFonts w:asciiTheme="majorHAnsi" w:hAnsiTheme="majorHAnsi" w:cstheme="majorHAnsi"/>
          <w:noProof/>
          <w:sz w:val="16"/>
          <w:szCs w:val="16"/>
        </w:rPr>
        <w:drawing>
          <wp:anchor distT="0" distB="0" distL="27305" distR="27305" simplePos="0" relativeHeight="251665408" behindDoc="0" locked="1" layoutInCell="1" allowOverlap="1">
            <wp:simplePos x="0" y="0"/>
            <wp:positionH relativeFrom="column">
              <wp:posOffset>17145</wp:posOffset>
            </wp:positionH>
            <wp:positionV relativeFrom="paragraph">
              <wp:posOffset>19685</wp:posOffset>
            </wp:positionV>
            <wp:extent cx="347345" cy="328930"/>
            <wp:effectExtent l="0" t="0" r="0" b="1270"/>
            <wp:wrapSquare wrapText="bothSides"/>
            <wp:docPr id="358472140" name="Picture 18" descr="AC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CPE"/>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347345" cy="328930"/>
                    </a:xfrm>
                    <a:prstGeom prst="rect">
                      <a:avLst/>
                    </a:prstGeom>
                  </pic:spPr>
                </pic:pic>
              </a:graphicData>
            </a:graphic>
          </wp:anchor>
        </w:drawing>
      </w:r>
      <w:r w:rsidRPr="00F754C3">
        <w:rPr>
          <w:rFonts w:asciiTheme="majorHAnsi" w:hAnsiTheme="majorHAnsi" w:cstheme="majorHAnsi"/>
          <w:sz w:val="16"/>
          <w:szCs w:val="16"/>
        </w:rPr>
        <w:t xml:space="preserve">This knowledge-based activity qualifies for </w:t>
      </w:r>
      <w:r w:rsidRPr="00F754C3">
        <w:rPr>
          <w:rFonts w:asciiTheme="majorHAnsi" w:hAnsiTheme="majorHAnsi" w:cstheme="majorHAnsi"/>
          <w:sz w:val="16"/>
          <w:szCs w:val="16"/>
        </w:rPr>
        <w:t>0.75</w:t>
      </w:r>
      <w:r w:rsidRPr="00F754C3">
        <w:rPr>
          <w:rFonts w:asciiTheme="majorHAnsi" w:hAnsiTheme="majorHAnsi" w:cstheme="majorHAnsi"/>
          <w:sz w:val="16"/>
          <w:szCs w:val="16"/>
        </w:rPr>
        <w:t xml:space="preserve"> contact hours of continuing pharmacy education credit.</w:t>
      </w:r>
      <w:r w:rsidR="009A3DCE">
        <w:rPr>
          <w:rFonts w:asciiTheme="majorHAnsi" w:hAnsiTheme="majorHAnsi" w:cstheme="majorHAnsi"/>
          <w:sz w:val="16"/>
          <w:szCs w:val="16"/>
        </w:rPr>
        <w:t xml:space="preserve"> </w:t>
      </w:r>
      <w:r w:rsidRPr="00F754C3">
        <w:rPr>
          <w:rFonts w:asciiTheme="majorHAnsi" w:hAnsiTheme="majorHAnsi" w:cstheme="majorHAnsi"/>
          <w:sz w:val="16"/>
          <w:szCs w:val="16"/>
        </w:rPr>
        <w:t>Pharmacy CE credits will be submitted electronically to the NABP upon successful completion of the activity.</w:t>
      </w:r>
    </w:p>
    <w:p w:rsidR="00F754C3" w:rsidRPr="00E8009C"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F754C3">
        <w:rPr>
          <w:rFonts w:asciiTheme="majorHAnsi" w:hAnsiTheme="majorHAnsi" w:cstheme="majorHAnsi"/>
          <w:sz w:val="16"/>
          <w:szCs w:val="16"/>
        </w:rPr>
        <w:fldChar w:fldCharType="begin"/>
      </w:r>
      <w:r w:rsidRPr="00F754C3">
        <w:rPr>
          <w:rFonts w:asciiTheme="majorHAnsi" w:hAnsiTheme="majorHAnsi" w:cstheme="majorHAnsi"/>
          <w:sz w:val="16"/>
          <w:szCs w:val="16"/>
        </w:rPr>
        <w:instrText xml:space="preserve"> IF </w:instrText>
      </w:r>
      <w:r w:rsidR="00733EDA">
        <w:rPr>
          <w:rFonts w:asciiTheme="majorHAnsi" w:hAnsiTheme="majorHAnsi" w:cstheme="majorHAnsi"/>
          <w:noProof/>
          <w:sz w:val="16"/>
          <w:szCs w:val="16"/>
        </w:rPr>
        <w:instrText>0.75</w:instrText>
      </w:r>
      <w:r w:rsidRPr="00F754C3">
        <w:rPr>
          <w:rFonts w:asciiTheme="majorHAnsi" w:hAnsiTheme="majorHAnsi" w:cstheme="majorHAnsi"/>
          <w:sz w:val="16"/>
          <w:szCs w:val="16"/>
        </w:rPr>
        <w:instrText xml:space="preserve"> &gt; 0 "</w:instrText>
      </w:r>
      <w:r w:rsidR="002836AF">
        <w:rPr>
          <w:rFonts w:asciiTheme="majorHAnsi" w:hAnsiTheme="majorHAnsi" w:cstheme="majorHAnsi"/>
          <w:noProof/>
          <w:sz w:val="16"/>
          <w:szCs w:val="16"/>
        </w:rPr>
        <w:drawing>
          <wp:anchor distT="0" distB="0" distL="0" distR="0" simplePos="0" relativeHeight="251666432"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9"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instrTex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instrText>
      </w:r>
      <w:r w:rsidRPr="00F754C3">
        <w:rPr>
          <w:rFonts w:asciiTheme="majorHAnsi" w:hAnsiTheme="majorHAnsi" w:cstheme="majorHAnsi"/>
          <w:sz w:val="16"/>
          <w:szCs w:val="16"/>
        </w:rPr>
        <w:instrText>0.75</w:instrText>
      </w:r>
      <w:r w:rsidRPr="00F754C3">
        <w:rPr>
          <w:rFonts w:asciiTheme="majorHAnsi" w:hAnsiTheme="majorHAnsi" w:cstheme="majorHAnsi"/>
          <w:sz w:val="16"/>
          <w:szCs w:val="16"/>
        </w:rPr>
        <w:instrText xml:space="preserve"> continuing education credits.</w:instrText>
      </w:r>
    </w:p>
    <w:p w:rsidR="004914AA" w:rsidP="00EB3966">
      <w:pPr>
        <w:pStyle w:val="NormalWeb"/>
        <w:spacing w:before="0" w:beforeAutospacing="0" w:after="0" w:afterAutospacing="0"/>
        <w:contextualSpacing/>
        <w:rPr>
          <w:rFonts w:asciiTheme="majorHAnsi" w:hAnsiTheme="majorHAnsi" w:cstheme="majorHAnsi"/>
          <w:sz w:val="10"/>
          <w:szCs w:val="10"/>
        </w:rPr>
      </w:pPr>
    </w:p>
    <w:p w:rsidR="004914AA" w:rsidRPr="00022247"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instrText xml:space="preserve">" "" </w:instrText>
      </w:r>
      <w:r w:rsidRPr="00F754C3">
        <w:rPr>
          <w:rFonts w:asciiTheme="majorHAnsi" w:hAnsiTheme="majorHAnsi" w:cstheme="majorHAnsi"/>
          <w:sz w:val="16"/>
          <w:szCs w:val="16"/>
        </w:rPr>
        <w:fldChar w:fldCharType="separate"/>
      </w:r>
      <w:r w:rsidR="002836AF">
        <w:rPr>
          <w:rFonts w:asciiTheme="majorHAnsi" w:hAnsiTheme="majorHAnsi" w:cstheme="majorHAnsi"/>
          <w:noProof/>
          <w:sz w:val="16"/>
          <w:szCs w:val="16"/>
        </w:rPr>
        <w:drawing>
          <wp:anchor distT="0" distB="0" distL="0" distR="0" simplePos="0" relativeHeight="251667456" behindDoc="0" locked="1" layoutInCell="1" allowOverlap="1">
            <wp:simplePos x="0" y="0"/>
            <wp:positionH relativeFrom="column">
              <wp:posOffset>2540</wp:posOffset>
            </wp:positionH>
            <wp:positionV relativeFrom="paragraph">
              <wp:posOffset>21590</wp:posOffset>
            </wp:positionV>
            <wp:extent cx="1206500" cy="457200"/>
            <wp:effectExtent l="0" t="0" r="0" b="0"/>
            <wp:wrapSquare wrapText="bothSides"/>
            <wp:docPr id="1726388288" name="Picture 19" descr="ASWB&#10;ACE&#10;approved continuing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SWB&#10;ACE&#10;approved continuing education"/>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206500" cy="457200"/>
                    </a:xfrm>
                    <a:prstGeom prst="rect">
                      <a:avLst/>
                    </a:prstGeom>
                  </pic:spPr>
                </pic:pic>
              </a:graphicData>
            </a:graphic>
          </wp:anchor>
        </w:drawing>
      </w:r>
      <w:r w:rsidRPr="00F754C3">
        <w:rPr>
          <w:rFonts w:asciiTheme="majorHAnsi" w:hAnsiTheme="majorHAnsi" w:cstheme="majorHAnsi"/>
          <w:sz w:val="16"/>
          <w:szCs w:val="16"/>
        </w:rPr>
        <w:t xml:space="preserve">As a Jointly Accredited Organization, Ascension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Ascension maintains responsibility for this course.  Social workers completing this course receive </w:t>
      </w:r>
      <w:r w:rsidRPr="00F754C3">
        <w:rPr>
          <w:rFonts w:asciiTheme="majorHAnsi" w:hAnsiTheme="majorHAnsi" w:cstheme="majorHAnsi"/>
          <w:sz w:val="16"/>
          <w:szCs w:val="16"/>
        </w:rPr>
        <w:t>0.75</w:t>
      </w:r>
      <w:r w:rsidRPr="00F754C3">
        <w:rPr>
          <w:rFonts w:asciiTheme="majorHAnsi" w:hAnsiTheme="majorHAnsi" w:cstheme="majorHAnsi"/>
          <w:sz w:val="16"/>
          <w:szCs w:val="16"/>
        </w:rPr>
        <w:t xml:space="preserve"> continuing education credits.</w:t>
      </w:r>
    </w:p>
    <w:p w:rsidR="004914AA" w:rsidP="00EB3966">
      <w:pPr>
        <w:pStyle w:val="NormalWeb"/>
        <w:spacing w:before="0" w:beforeAutospacing="0" w:after="0" w:afterAutospacing="0"/>
        <w:contextualSpacing/>
        <w:rPr>
          <w:rFonts w:asciiTheme="majorHAnsi" w:hAnsiTheme="majorHAnsi" w:cstheme="majorHAnsi"/>
          <w:sz w:val="10"/>
          <w:szCs w:val="10"/>
        </w:rPr>
      </w:pPr>
    </w:p>
    <w:p w:rsidRPr="00F754C3" w:rsidP="00EB3966">
      <w:pPr>
        <w:pStyle w:val="NormalWeb"/>
        <w:spacing w:before="0" w:beforeAutospacing="0" w:after="0" w:afterAutospacing="0"/>
        <w:contextualSpacing/>
        <w:rPr>
          <w:rFonts w:asciiTheme="majorHAnsi" w:hAnsiTheme="majorHAnsi" w:cstheme="majorHAnsi"/>
          <w:sz w:val="16"/>
          <w:szCs w:val="16"/>
        </w:rPr>
      </w:pPr>
      <w:r w:rsidRPr="00F754C3">
        <w:rPr>
          <w:rFonts w:asciiTheme="majorHAnsi" w:hAnsiTheme="majorHAnsi" w:cstheme="majorHAnsi"/>
          <w:sz w:val="16"/>
          <w:szCs w:val="16"/>
        </w:rPr>
        <w:fldChar w:fldCharType="end"/>
      </w:r>
      <w:r w:rsidRPr="00022247" w:rsidR="004914AA">
        <w:rPr>
          <w:rFonts w:asciiTheme="majorHAnsi" w:hAnsiTheme="majorHAnsi" w:cstheme="majorHAnsi"/>
          <w:sz w:val="16"/>
          <w:szCs w:val="16"/>
        </w:rPr>
        <w:fldChar w:fldCharType="begin"/>
      </w:r>
      <w:r w:rsidRPr="00022247" w:rsidR="004914AA">
        <w:rPr>
          <w:rFonts w:asciiTheme="majorHAnsi" w:hAnsiTheme="majorHAnsi" w:cstheme="majorHAnsi"/>
          <w:sz w:val="16"/>
          <w:szCs w:val="16"/>
        </w:rPr>
        <w:instrText xml:space="preserve"> IF </w:instrText>
      </w:r>
      <w:r w:rsidRPr="00022247" w:rsidR="004914AA">
        <w:rPr>
          <w:rFonts w:asciiTheme="majorHAnsi" w:hAnsiTheme="majorHAnsi" w:cstheme="majorHAnsi"/>
          <w:sz w:val="16"/>
          <w:szCs w:val="16"/>
        </w:rPr>
        <w:instrText>0.75</w:instrText>
      </w:r>
      <w:r w:rsidRPr="00022247" w:rsidR="004914AA">
        <w:rPr>
          <w:rFonts w:asciiTheme="majorHAnsi" w:hAnsiTheme="majorHAnsi" w:cstheme="majorHAnsi"/>
          <w:sz w:val="16"/>
          <w:szCs w:val="16"/>
        </w:rPr>
        <w:instrText xml:space="preserve"> &gt; 0 "</w:instrText>
      </w:r>
      <w:r w:rsidRPr="00022247" w:rsidR="004914AA">
        <w:rPr>
          <w:rFonts w:asciiTheme="majorHAnsi" w:hAnsiTheme="majorHAnsi" w:cstheme="majorHAnsi"/>
          <w:noProof/>
          <w:sz w:val="16"/>
          <w:szCs w:val="16"/>
        </w:rPr>
        <w:drawing>
          <wp:anchor distT="0" distB="0" distL="0" distR="27305" simplePos="0" relativeHeight="251670528"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1"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00733EDA" w:rsidP="00733EDA">
      <w:pPr>
        <w:contextualSpacing/>
        <w:rPr>
          <w:rFonts w:asciiTheme="majorHAnsi" w:hAnsiTheme="majorHAnsi" w:cstheme="majorHAnsi"/>
          <w:sz w:val="16"/>
          <w:szCs w:val="16"/>
        </w:rPr>
      </w:pPr>
      <w:r w:rsidRPr="00022247">
        <w:rPr>
          <w:rFonts w:asciiTheme="majorHAnsi" w:hAnsiTheme="majorHAnsi" w:cstheme="majorHAnsi"/>
          <w:sz w:val="16"/>
          <w:szCs w:val="16"/>
        </w:rPr>
        <w:instrText xml:space="preserve">" "" </w:instrText>
      </w:r>
      <w:r w:rsidRPr="00022247">
        <w:rPr>
          <w:rFonts w:asciiTheme="majorHAnsi" w:hAnsiTheme="majorHAnsi" w:cstheme="majorHAnsi"/>
          <w:sz w:val="16"/>
          <w:szCs w:val="16"/>
        </w:rPr>
        <w:fldChar w:fldCharType="separate"/>
      </w:r>
      <w:r w:rsidRPr="00022247" w:rsidR="004914AA">
        <w:rPr>
          <w:rFonts w:asciiTheme="majorHAnsi" w:hAnsiTheme="majorHAnsi" w:cstheme="majorHAnsi"/>
          <w:noProof/>
          <w:sz w:val="16"/>
          <w:szCs w:val="16"/>
        </w:rPr>
        <w:drawing>
          <wp:anchor distT="0" distB="0" distL="0" distR="27305" simplePos="0" relativeHeight="251671552" behindDoc="0" locked="1" layoutInCell="1" allowOverlap="1">
            <wp:simplePos x="0" y="0"/>
            <wp:positionH relativeFrom="column">
              <wp:posOffset>3810</wp:posOffset>
            </wp:positionH>
            <wp:positionV relativeFrom="paragraph">
              <wp:posOffset>26035</wp:posOffset>
            </wp:positionV>
            <wp:extent cx="1097280" cy="457200"/>
            <wp:effectExtent l="0" t="0" r="0" b="0"/>
            <wp:wrapSquare wrapText="bothSides"/>
            <wp:docPr id="692296516" name="Picture 1" descr="American Psychological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merican Psychological Association"/>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1097280" cy="457200"/>
                    </a:xfrm>
                    <a:prstGeom prst="rect">
                      <a:avLst/>
                    </a:prstGeom>
                  </pic:spPr>
                </pic:pic>
              </a:graphicData>
            </a:graphic>
          </wp:anchor>
        </w:drawing>
      </w:r>
      <w:r w:rsidRPr="00022247" w:rsidR="004914AA">
        <w:rPr>
          <w:rFonts w:asciiTheme="majorHAnsi" w:hAnsiTheme="majorHAnsi" w:cstheme="majorHAnsi"/>
          <w:sz w:val="16"/>
          <w:szCs w:val="16"/>
        </w:rPr>
        <w:t>Continuing Education (CE) credits for psychologists are provided through the co-sponsorship of the American Psychological Association (APA) Office of Continuing Education in Psychology (CEP). The APA CEP Office maintains responsibility for the content of the programs.</w:t>
      </w:r>
    </w:p>
    <w:p w:rsidR="004914AA" w:rsidRPr="00022247" w:rsidP="00EB3966">
      <w:pPr>
        <w:pStyle w:val="NormalWeb"/>
        <w:spacing w:before="0" w:beforeAutospacing="0" w:after="0" w:afterAutospacing="0"/>
        <w:contextualSpacing/>
        <w:rPr>
          <w:rFonts w:asciiTheme="majorHAnsi" w:hAnsiTheme="majorHAnsi" w:cstheme="majorHAnsi"/>
          <w:sz w:val="16"/>
          <w:szCs w:val="16"/>
        </w:rPr>
      </w:pPr>
    </w:p>
    <w:p w:rsidRPr="00022247" w:rsidP="00733EDA">
      <w:pPr>
        <w:contextualSpacing/>
        <w:rPr>
          <w:rFonts w:asciiTheme="majorHAnsi" w:hAnsiTheme="majorHAnsi" w:cstheme="majorHAnsi"/>
          <w:sz w:val="16"/>
          <w:szCs w:val="16"/>
        </w:rPr>
      </w:pPr>
      <w:r w:rsidRPr="00022247">
        <w:rPr>
          <w:rFonts w:asciiTheme="majorHAnsi" w:hAnsiTheme="majorHAnsi" w:cstheme="majorHAnsi"/>
          <w:sz w:val="16"/>
          <w:szCs w:val="16"/>
        </w:rPr>
        <w:fldChar w:fldCharType="end"/>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instrText>0.00</w:instrText>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instrText>0</w:instrText>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"GRMC designates this program for a maximum of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AOAC2AMax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AOA Category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IF </w:instrText>
      </w:r>
      <w:r w:rsidRPr="00022247" w:rsidR="00022247">
        <w:rPr>
          <w:rFonts w:eastAsia="Cambria" w:asciiTheme="majorHAnsi" w:hAnsiTheme="majorHAnsi" w:cstheme="majorHAnsi"/>
          <w:sz w:val="16"/>
          <w:szCs w:val="16"/>
        </w:rPr>
        <w:fldChar w:fldCharType="begin"/>
      </w:r>
      <w:r w:rsidRPr="00022247" w:rsidR="00022247">
        <w:rPr>
          <w:rFonts w:eastAsia="Cambria" w:asciiTheme="majorHAnsi" w:hAnsiTheme="majorHAnsi" w:cstheme="majorHAnsi"/>
          <w:sz w:val="16"/>
          <w:szCs w:val="16"/>
        </w:rPr>
        <w:instrText xml:space="preserve"> MERGEFIELD AOAC1AMax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 &gt; 0 "1" "2"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022247" w:rsidR="00022247">
        <w:rPr>
          <w:rFonts w:eastAsia="Cambria" w:asciiTheme="majorHAnsi" w:hAnsiTheme="majorHAnsi" w:cstheme="majorHAnsi"/>
          <w:sz w:val="16"/>
          <w:szCs w:val="16"/>
        </w:rPr>
        <w:instrText xml:space="preserve">A Credit(s) and will report CME and specialty credits commensurate with the extent of the physician’s participation in this activity." "" </w:instrText>
      </w:r>
      <w:r w:rsidRPr="00022247" w:rsidR="00022247">
        <w:rPr>
          <w:rFonts w:eastAsia="Cambria" w:asciiTheme="majorHAnsi" w:hAnsiTheme="majorHAnsi" w:cstheme="majorHAnsi"/>
          <w:sz w:val="16"/>
          <w:szCs w:val="16"/>
        </w:rPr>
        <w:fldChar w:fldCharType="separate"/>
      </w:r>
      <w:r w:rsidRPr="00022247" w:rsidR="00022247">
        <w:rPr>
          <w:rFonts w:eastAsia="Cambria" w:asciiTheme="majorHAnsi" w:hAnsiTheme="majorHAnsi" w:cstheme="majorHAnsi"/>
          <w:sz w:val="16"/>
          <w:szCs w:val="16"/>
        </w:rPr>
        <w:fldChar w:fldCharType="end"/>
      </w:r>
      <w:r w:rsidRPr="00733EDA" w:rsidR="00733EDA">
        <w:rPr>
          <w:rFonts w:asciiTheme="majorHAnsi" w:hAnsiTheme="majorHAnsi" w:cstheme="majorHAnsi"/>
          <w:sz w:val="16"/>
          <w:szCs w:val="16"/>
        </w:rPr>
        <w:fldChar w:fldCharType="begin"/>
      </w:r>
      <w:r w:rsidRPr="00733EDA" w:rsidR="00733EDA">
        <w:rPr>
          <w:rFonts w:asciiTheme="majorHAnsi" w:hAnsiTheme="majorHAnsi" w:cstheme="majorHAnsi"/>
          <w:sz w:val="16"/>
          <w:szCs w:val="16"/>
        </w:rPr>
        <w:instrText xml:space="preserve"> IF </w:instrText>
      </w:r>
      <w:r w:rsidRPr="00733EDA" w:rsidR="00733EDA">
        <w:rPr>
          <w:rFonts w:asciiTheme="majorHAnsi" w:hAnsiTheme="majorHAnsi" w:cstheme="majorHAnsi"/>
          <w:sz w:val="16"/>
          <w:szCs w:val="16"/>
        </w:rPr>
        <w:instrText>0.00</w:instrText>
      </w:r>
      <w:r w:rsidR="00733EDA">
        <w:rPr>
          <w:rFonts w:asciiTheme="majorHAnsi" w:hAnsiTheme="majorHAnsi" w:cstheme="majorHAnsi"/>
          <w:sz w:val="16"/>
          <w:szCs w:val="16"/>
        </w:rPr>
        <w:instrText xml:space="preserve"> &gt; 0 "</w:instrText>
      </w:r>
    </w:p>
    <w:p w:rsidR="00733EDA" w:rsidP="00733EDA">
      <w:pPr>
        <w:contextualSpacing/>
        <w:rPr>
          <w:rFonts w:asciiTheme="majorHAnsi" w:hAnsiTheme="majorHAnsi" w:cstheme="majorHAnsi"/>
          <w:sz w:val="16"/>
          <w:szCs w:val="16"/>
        </w:rPr>
      </w:pPr>
    </w:p>
    <w:p w:rsidR="002836AF" w:rsidRPr="00733EDA" w:rsidP="00733EDA">
      <w:pPr>
        <w:contextualSpacing/>
        <w:rPr>
          <w:rFonts w:eastAsia="Cambria" w:asciiTheme="majorHAnsi" w:hAnsiTheme="majorHAnsi" w:cstheme="majorHAnsi"/>
          <w:sz w:val="16"/>
          <w:szCs w:val="16"/>
        </w:rPr>
        <w:sectPr w:rsidSect="00235293">
          <w:type w:val="continuous"/>
          <w:pgSz w:w="12240" w:h="15840"/>
          <w:pgMar w:top="432" w:right="432" w:bottom="432" w:left="432" w:header="720" w:footer="720" w:gutter="0"/>
          <w:cols w:num="2" w:sep="1" w:space="432" w:equalWidth="0">
            <w:col w:w="7227" w:space="432"/>
            <w:col w:w="3717"/>
          </w:cols>
          <w:docGrid w:linePitch="360"/>
        </w:sectPr>
      </w:pPr>
      <w:r>
        <w:rPr>
          <w:rFonts w:asciiTheme="majorHAnsi" w:hAnsiTheme="majorHAnsi" w:cstheme="majorHAnsi"/>
          <w:noProof/>
          <w:sz w:val="16"/>
          <w:szCs w:val="16"/>
        </w:rPr>
        <w:drawing>
          <wp:anchor distT="0" distB="0" distL="114300" distR="114300" simplePos="0" relativeHeight="251672576" behindDoc="0" locked="0" layoutInCell="1" allowOverlap="1">
            <wp:simplePos x="0" y="0"/>
            <wp:positionH relativeFrom="column">
              <wp:posOffset>0</wp:posOffset>
            </wp:positionH>
            <wp:positionV relativeFrom="page">
              <wp:posOffset>2682240</wp:posOffset>
            </wp:positionV>
            <wp:extent cx="914400" cy="914400"/>
            <wp:effectExtent l="0" t="0" r="0" b="0"/>
            <wp:wrapSquare wrapText="bothSides"/>
            <wp:docPr id="2126804052"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804052" name="Picture 1" descr="A blue and black logo&#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anchor>
        </w:drawing>
      </w:r>
      <w:r w:rsidRPr="00733EDA">
        <w:rPr>
          <w:rFonts w:asciiTheme="majorHAnsi" w:hAnsiTheme="majorHAnsi" w:cstheme="majorHAnsi"/>
          <w:sz w:val="16"/>
          <w:szCs w:val="16"/>
        </w:rPr>
        <w:instrText>For activities awarding BOC, add the following statement:</w:instrText>
      </w:r>
      <w:r w:rsidRPr="00733EDA">
        <w:rPr>
          <w:rFonts w:asciiTheme="majorHAnsi" w:hAnsiTheme="majorHAnsi" w:cstheme="majorHAnsi"/>
          <w:sz w:val="16"/>
          <w:szCs w:val="16"/>
        </w:rPr>
        <w:br/>
        <w:instrText xml:space="preserve">Ascension (Joint Accreditation Provider ID# 4008174) is approved by the Board of Certification, Inc. to provide continuing education to Athletic Trainers (ATs). This program is eligible for a maximum of </w:instrText>
      </w:r>
      <w:r>
        <w:rPr>
          <w:rFonts w:asciiTheme="majorHAnsi" w:hAnsiTheme="majorHAnsi" w:cstheme="majorHAnsi"/>
          <w:sz w:val="16"/>
          <w:szCs w:val="16"/>
        </w:rPr>
        <w:fldChar w:fldCharType="begin"/>
      </w:r>
      <w:r>
        <w:rPr>
          <w:rFonts w:asciiTheme="majorHAnsi" w:hAnsiTheme="majorHAnsi" w:cstheme="majorHAnsi"/>
          <w:sz w:val="16"/>
          <w:szCs w:val="16"/>
        </w:rPr>
        <w:instrText xml:space="preserve"> MERGEFIELD BOCHoursMax \# 0.00# </w:instrText>
      </w:r>
      <w:r>
        <w:rPr>
          <w:rFonts w:asciiTheme="majorHAnsi" w:hAnsiTheme="majorHAnsi" w:cstheme="majorHAnsi"/>
          <w:sz w:val="16"/>
          <w:szCs w:val="16"/>
        </w:rPr>
        <w:fldChar w:fldCharType="separate"/>
      </w:r>
      <w:r>
        <w:rPr>
          <w:rFonts w:asciiTheme="majorHAnsi" w:hAnsiTheme="majorHAnsi" w:cstheme="majorHAnsi"/>
          <w:sz w:val="16"/>
          <w:szCs w:val="16"/>
        </w:rPr>
        <w:fldChar w:fldCharType="end"/>
      </w:r>
      <w:r w:rsidRPr="00733EDA">
        <w:rPr>
          <w:rFonts w:asciiTheme="majorHAnsi" w:hAnsiTheme="majorHAnsi" w:cstheme="majorHAnsi"/>
          <w:sz w:val="16"/>
          <w:szCs w:val="16"/>
        </w:rPr>
        <w:instrText xml:space="preserve"> Category A CEUs. ATs should claim only those hours actually spent in the educational program.</w:instrText>
      </w:r>
      <w:r>
        <w:rPr>
          <w:rFonts w:asciiTheme="majorHAnsi" w:hAnsiTheme="majorHAnsi" w:cstheme="majorHAnsi"/>
          <w:sz w:val="16"/>
          <w:szCs w:val="16"/>
        </w:rPr>
        <w:instrText>" ""</w:instrText>
      </w:r>
      <w:r w:rsidRPr="00733EDA">
        <w:rPr>
          <w:rFonts w:asciiTheme="majorHAnsi" w:hAnsiTheme="majorHAnsi" w:cstheme="majorHAnsi"/>
          <w:sz w:val="16"/>
          <w:szCs w:val="16"/>
        </w:rPr>
        <w:instrText xml:space="preserve"> </w:instrText>
      </w:r>
      <w:r w:rsidRPr="00733EDA">
        <w:rPr>
          <w:rFonts w:asciiTheme="majorHAnsi" w:hAnsiTheme="majorHAnsi" w:cstheme="majorHAnsi"/>
          <w:sz w:val="16"/>
          <w:szCs w:val="16"/>
        </w:rPr>
        <w:fldChar w:fldCharType="separate"/>
      </w:r>
      <w:r w:rsidRPr="00733EDA">
        <w:rPr>
          <w:rFonts w:asciiTheme="majorHAnsi" w:hAnsiTheme="majorHAnsi" w:cstheme="majorHAnsi"/>
          <w:sz w:val="16"/>
          <w:szCs w:val="16"/>
        </w:rPr>
        <w:fldChar w:fldCharType="end"/>
      </w:r>
    </w:p>
    <w:p w:rsid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Faculty/Course Director/Planners:</w:t>
      </w:r>
    </w:p>
    <w:p w:rsidR="000B7BB6" w:rsidRPr="008D3EEC" w:rsidP="00EB3966">
      <w:pPr>
        <w:pStyle w:val="NormalWeb"/>
        <w:spacing w:before="0" w:beforeAutospacing="0" w:after="0" w:afterAutospacing="0"/>
        <w:contextualSpacing/>
        <w:rPr>
          <w:rFonts w:ascii="Arial" w:hAnsi="Arial" w:cs="Arial"/>
          <w:color w:val="223B82"/>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Ascension has selected all faculty participating in this activity. It is the policy of Ascension that all CE/CME planning committees, faculty, authors, editors, and staff disclose relationships with commercial interests upon nomination or invitation of participation. Disclosure documents are reviewed for potential conflicts of interest and if relevant, they are resolved prior to confirmation of participation. Only those participants who have no conflict of interest or who agreed to an identified resolution process prior to their participation were involved in this activity.</w:t>
      </w:r>
    </w:p>
    <w:p w:rsidR="008D3EEC" w:rsidRPr="008D3EEC"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Conflict of Interest: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In accordance with the ACCME Standards for Commercial Support, it is the policy of Ascension to ensure balance, independence, objectivity and scientific rigor in all CE/CME activities.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t>Full disclosure of conflicts and conflict resolution will be made in writing via handout materials or syllabus.</w:t>
      </w: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86"/>
        <w:gridCol w:w="3386"/>
        <w:gridCol w:w="451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Matthew Kenney, PhD,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Bradley N Nix, PharmD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Pharmacy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Jennifer Davidson, MSW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Christina Fixari, LCSW</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Co-Director, Social Work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Jeanne Pyonk,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Cassandra Driver, M.Ed, LPC-MHSP</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Paul Wagle, MA, Healthcare Administration and Philosophy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Geoffrey Smallwood,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Michele Chadwick, MBE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- 06/26/2024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Morgan Jones, MA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Clifton Saper, PhD, APA Life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Psychologist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- 01/12/2024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Cavan Doyle, JD, LL.M, HEC-C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- 02/14/2024</w:t>
            </w:r>
          </w:p>
        </w:tc>
      </w:tr>
    </w:tbl>
    <w:p w:rsidR="008D3EEC" w:rsidRPr="00BB598D">
      <w:pPr>
        <w:bidi w:val="0"/>
        <w:spacing w:after="280" w:afterAutospacing="1"/>
        <w:rPr>
          <w:rFonts w:asciiTheme="majorHAnsi" w:hAnsiTheme="majorHAnsi" w:cstheme="majorHAnsi"/>
          <w:sz w:val="20"/>
          <w:szCs w:val="20"/>
        </w:rPr>
      </w:pPr>
    </w:p>
    <w:p w:rsidR="008D3EEC" w:rsidRPr="00BB598D" w:rsidP="00EB3966">
      <w:pPr>
        <w:pStyle w:val="NormalWeb"/>
        <w:spacing w:before="0" w:beforeAutospacing="0" w:after="0" w:afterAutospacing="0"/>
        <w:contextualSpacing/>
        <w:rPr>
          <w:rFonts w:asciiTheme="majorHAnsi" w:hAnsiTheme="majorHAnsi" w:cstheme="majorHAnsi"/>
          <w:sz w:val="20"/>
          <w:szCs w:val="20"/>
        </w:rPr>
      </w:pPr>
    </w:p>
    <w:p w:rsidR="008D3EEC" w:rsidRPr="008D3EEC" w:rsidP="00EB3966">
      <w:pPr>
        <w:pStyle w:val="NormalWeb"/>
        <w:spacing w:before="0" w:beforeAutospacing="0" w:after="0" w:afterAutospacing="0"/>
        <w:contextualSpacing/>
        <w:rPr>
          <w:rFonts w:ascii="Arial" w:hAnsi="Arial" w:cs="Arial"/>
          <w:b/>
          <w:bCs/>
          <w:color w:val="223B82"/>
          <w:sz w:val="28"/>
          <w:szCs w:val="28"/>
        </w:rPr>
      </w:pPr>
      <w:r w:rsidRPr="008D3EEC">
        <w:rPr>
          <w:rFonts w:ascii="Arial" w:hAnsi="Arial" w:cs="Arial"/>
          <w:b/>
          <w:bCs/>
          <w:color w:val="223B82"/>
          <w:sz w:val="28"/>
          <w:szCs w:val="28"/>
        </w:rPr>
        <w:t xml:space="preserve">Commercial </w:t>
      </w:r>
      <w:r w:rsidR="005A6C8A">
        <w:rPr>
          <w:rFonts w:ascii="Arial" w:hAnsi="Arial" w:cs="Arial"/>
          <w:b/>
          <w:bCs/>
          <w:color w:val="223B82"/>
          <w:sz w:val="28"/>
          <w:szCs w:val="28"/>
        </w:rPr>
        <w:t>Support</w:t>
      </w:r>
      <w:r w:rsidRPr="008D3EEC">
        <w:rPr>
          <w:rFonts w:ascii="Arial" w:hAnsi="Arial" w:cs="Arial"/>
          <w:b/>
          <w:bCs/>
          <w:color w:val="223B82"/>
          <w:sz w:val="28"/>
          <w:szCs w:val="28"/>
        </w:rPr>
        <w:t>:</w:t>
      </w:r>
    </w:p>
    <w:p w:rsidR="000B7BB6" w:rsidRPr="000B7BB6" w:rsidP="00EB3966">
      <w:pPr>
        <w:pStyle w:val="NormalWeb"/>
        <w:spacing w:before="0" w:beforeAutospacing="0" w:after="0" w:afterAutospacing="0"/>
        <w:contextualSpacing/>
        <w:rPr>
          <w:rFonts w:asciiTheme="majorHAnsi" w:hAnsiTheme="majorHAnsi" w:cstheme="majorHAnsi"/>
          <w:sz w:val="10"/>
          <w:szCs w:val="10"/>
        </w:rPr>
      </w:pPr>
    </w:p>
    <w:p w:rsidR="00F754C3" w:rsidRPr="00BB598D" w:rsidP="00EB3966">
      <w:pPr>
        <w:pStyle w:val="NormalWeb"/>
        <w:spacing w:before="0" w:beforeAutospacing="0" w:after="0" w:afterAutospacing="0"/>
        <w:contextualSpacing/>
        <w:rPr>
          <w:rFonts w:asciiTheme="majorHAnsi" w:hAnsiTheme="majorHAnsi" w:cstheme="majorHAnsi"/>
          <w:sz w:val="20"/>
          <w:szCs w:val="20"/>
        </w:rPr>
      </w:pP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IF </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w:instrText>
      </w:r>
      <w:r w:rsidRPr="00BB598D">
        <w:rPr>
          <w:rFonts w:asciiTheme="majorHAnsi" w:hAnsiTheme="majorHAnsi" w:cstheme="majorHAnsi"/>
          <w:sz w:val="20"/>
          <w:szCs w:val="20"/>
        </w:rPr>
        <w:instrText xml:space="preserve"> = "" "No commercial interest was received for this CE/CME activity." "</w:instrText>
      </w:r>
      <w:r w:rsidRPr="00BB598D">
        <w:rPr>
          <w:rFonts w:asciiTheme="majorHAnsi" w:hAnsiTheme="majorHAnsi" w:cstheme="majorHAnsi"/>
          <w:sz w:val="20"/>
          <w:szCs w:val="20"/>
        </w:rPr>
        <w:fldChar w:fldCharType="begin"/>
      </w:r>
      <w:r w:rsidRPr="00BB598D">
        <w:rPr>
          <w:rFonts w:asciiTheme="majorHAnsi" w:hAnsiTheme="majorHAnsi" w:cstheme="majorHAnsi"/>
          <w:sz w:val="20"/>
          <w:szCs w:val="20"/>
        </w:rPr>
        <w:instrText xml:space="preserve"> MERGEFIELD CommercialSupport </w:instrText>
      </w:r>
      <w:r w:rsidRPr="00BB598D">
        <w:rPr>
          <w:rFonts w:asciiTheme="majorHAnsi" w:hAnsiTheme="majorHAnsi" w:cstheme="majorHAnsi"/>
          <w:sz w:val="20"/>
          <w:szCs w:val="20"/>
        </w:rPr>
        <w:fldChar w:fldCharType="separate"/>
      </w:r>
      <w:r w:rsidR="00733EDA">
        <w:rPr>
          <w:rFonts w:asciiTheme="majorHAnsi" w:hAnsiTheme="majorHAnsi" w:cstheme="majorHAnsi"/>
          <w:noProof/>
          <w:sz w:val="20"/>
          <w:szCs w:val="20"/>
        </w:rPr>
        <w:instrText>«CommercialSupport»</w:instrText>
      </w:r>
      <w:r w:rsidRPr="00BB598D">
        <w:rPr>
          <w:rFonts w:asciiTheme="majorHAnsi" w:hAnsiTheme="majorHAnsi" w:cstheme="majorHAnsi"/>
          <w:sz w:val="20"/>
          <w:szCs w:val="20"/>
        </w:rPr>
        <w:fldChar w:fldCharType="end"/>
      </w:r>
      <w:r w:rsidRPr="00BB598D">
        <w:rPr>
          <w:rFonts w:asciiTheme="majorHAnsi" w:hAnsiTheme="majorHAnsi" w:cstheme="majorHAnsi"/>
          <w:sz w:val="20"/>
          <w:szCs w:val="20"/>
        </w:rPr>
        <w:instrText xml:space="preserve">" </w:instrText>
      </w:r>
      <w:r w:rsidRPr="00BB598D">
        <w:rPr>
          <w:rFonts w:asciiTheme="majorHAnsi" w:hAnsiTheme="majorHAnsi" w:cstheme="majorHAnsi"/>
          <w:sz w:val="20"/>
          <w:szCs w:val="20"/>
        </w:rPr>
        <w:fldChar w:fldCharType="separate"/>
      </w:r>
      <w:r w:rsidRPr="00BB598D">
        <w:rPr>
          <w:rFonts w:asciiTheme="majorHAnsi" w:hAnsiTheme="majorHAnsi" w:cstheme="majorHAnsi"/>
          <w:sz w:val="20"/>
          <w:szCs w:val="20"/>
        </w:rPr>
        <w:t>No commercial interest was received for this CE/CME activity.</w:t>
      </w:r>
      <w:r w:rsidRPr="00BB598D">
        <w:rPr>
          <w:rFonts w:asciiTheme="majorHAnsi" w:hAnsiTheme="majorHAnsi" w:cstheme="majorHAnsi"/>
          <w:sz w:val="20"/>
          <w:szCs w:val="20"/>
        </w:rPr>
        <w:fldChar w:fldCharType="end"/>
      </w:r>
    </w:p>
    <w:sectPr w:rsidSect="00235293">
      <w:pgSz w:w="12240" w:h="15840"/>
      <w:pgMar w:top="432" w:right="432" w:bottom="432" w:left="432" w:header="720" w:footer="720" w:gutter="0"/>
      <w:cols w:sep="1"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D46196"/>
    <w:multiLevelType w:val="hybridMultilevel"/>
    <w:tmpl w:val="02A84A4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7AAA0F52"/>
    <w:multiLevelType w:val="hybridMultilevel"/>
    <w:tmpl w:val="DCF405B0"/>
    <w:lvl w:ilvl="0">
      <w:start w:val="1"/>
      <w:numFmt w:val="bullet"/>
      <w:lvlText w:val=""/>
      <w:lvlJc w:val="left"/>
      <w:pPr>
        <w:ind w:left="720" w:hanging="360"/>
      </w:pPr>
      <w:rPr>
        <w:rFonts w:ascii="Symbol" w:hAnsi="Symbol" w:hint="default"/>
        <w:color w:val="0071CE"/>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325A"/>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12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022247"/>
    <w:pPr>
      <w:keepNext/>
      <w:keepLines/>
      <w:spacing w:after="60" w:line="276" w:lineRule="auto"/>
    </w:pPr>
    <w:rPr>
      <w:rFonts w:ascii="Arial" w:eastAsia="Arial" w:hAnsi="Arial" w:cs="Arial"/>
      <w:sz w:val="52"/>
      <w:szCs w:val="52"/>
    </w:rPr>
  </w:style>
  <w:style w:type="character" w:customStyle="1" w:styleId="TitleChar">
    <w:name w:val="Title Char"/>
    <w:basedOn w:val="DefaultParagraphFont"/>
    <w:link w:val="Title"/>
    <w:rsid w:val="00022247"/>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jpeg"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png" /><Relationship Id="rId8" Type="http://schemas.openxmlformats.org/officeDocument/2006/relationships/image" Target="media/image5.jpeg" /><Relationship Id="rId9"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3</cp:revision>
  <dcterms:created xsi:type="dcterms:W3CDTF">2022-09-27T18:56:00Z</dcterms:created>
  <dcterms:modified xsi:type="dcterms:W3CDTF">2024-03-05T15:27:00Z</dcterms:modified>
</cp:coreProperties>
</file>