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2021 Richard Liebendorfer, MD Ethics Symposium: Women's Health is Human Health</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October 4, 2021 — 5:00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Women in Oklahoma have made considerable advances in recent years but still face inequities that often prevent them from reaching their full human potential. The demand for limited resources, such as affordable childcare, was worsened by the COVID-19 pandemic and has created a significant challenges for both the women who access medical care in Oklahoma and the women who work in the healthcare field. The 2021 Richard Liebendorfer, MD Ethics Symposium, presented by the Ascension St. John Ethics Integration Committee, is open to providers and staff from all ministries and disciplines. "Women and Healthcare" will give voice to a variety of perspectives, from the unique needs of a patient living in poverty to the professional experiences of women in healthcare leadership. Attendees should walk away with practical ethics guidance to share with fellow colleagues and improved confidence to foster supportive connections with female patients.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Describe how femaleness can shape a woman's health care experiences, whether as a professional or as a patient.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Demonstrate how patients living in poverty may be forced to make difficult tradeoffs in obtaining basic health care, and how Catholic Moral Teaching may help professionals better support patients who would otherwise be written off as 'non-compliant.''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Explain how Fertility Awareness Based Medicine can empower both men and women's reproductive autonomy.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Demonstrate that a better understanding of ethics can help medical professionals better address health disparities unique to women and girls. </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Specialties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«Specialties»</w:instrText>
      </w:r>
      <w:r>
        <w:rPr>
          <w:rFonts w:asciiTheme="majorHAnsi" w:hAnsiTheme="majorHAnsi" w:cstheme="majorHAnsi"/>
          <w:sz w:val="20"/>
          <w:szCs w:val="20"/>
        </w:rPr>
        <w:fldChar w:fldCharType="end"/>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r w:rsidR="004B359F">
        <w:rPr>
          <w:rFonts w:asciiTheme="majorHAnsi" w:hAnsiTheme="majorHAnsi" w:cstheme="majorHAnsi"/>
          <w:sz w:val="20"/>
          <w:szCs w:val="20"/>
        </w:rPr>
        <w:fldChar w:fldCharType="begin"/>
      </w:r>
      <w:r w:rsidR="004B359F">
        <w:rPr>
          <w:rFonts w:asciiTheme="majorHAnsi" w:hAnsiTheme="majorHAnsi" w:cstheme="majorHAnsi"/>
          <w:sz w:val="20"/>
          <w:szCs w:val="20"/>
        </w:rPr>
        <w:instrText xml:space="preserve"> IF </w:instrText>
      </w:r>
      <w:r w:rsidR="004B359F">
        <w:rPr>
          <w:rFonts w:asciiTheme="majorHAnsi" w:hAnsiTheme="majorHAnsi" w:cstheme="majorHAnsi"/>
          <w:sz w:val="20"/>
          <w:szCs w:val="20"/>
        </w:rPr>
        <w:instrText>"</w:instrText>
      </w:r>
      <w:r w:rsidR="004B359F">
        <w:rPr>
          <w:rFonts w:asciiTheme="majorHAnsi" w:hAnsiTheme="majorHAnsi" w:cstheme="majorHAnsi"/>
          <w:sz w:val="20"/>
          <w:szCs w:val="20"/>
        </w:rPr>
        <w:instrText>"</w:instrText>
      </w:r>
      <w:r w:rsidR="004B359F">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begin"/>
      </w:r>
      <w:r>
        <w:rPr>
          <w:rFonts w:asciiTheme="majorHAnsi" w:hAnsiTheme="majorHAnsi" w:cstheme="majorHAnsi"/>
          <w:sz w:val="20"/>
          <w:szCs w:val="20"/>
        </w:rPr>
        <w:instrText xml:space="preserve"> MERGEFIELD </w:instrText>
      </w:r>
      <w:r w:rsidR="00440D15">
        <w:rPr>
          <w:rFonts w:asciiTheme="majorHAnsi" w:hAnsiTheme="majorHAnsi" w:cstheme="majorHAnsi"/>
          <w:sz w:val="20"/>
          <w:szCs w:val="20"/>
        </w:rPr>
        <w:instrText>Target</w:instrText>
      </w:r>
      <w:r>
        <w:rPr>
          <w:rFonts w:asciiTheme="majorHAnsi" w:hAnsiTheme="majorHAnsi" w:cstheme="majorHAnsi"/>
          <w:sz w:val="20"/>
          <w:szCs w:val="20"/>
        </w:rPr>
        <w:instrText xml:space="preserve">Professions </w:instrText>
      </w:r>
      <w:r>
        <w:rPr>
          <w:rFonts w:asciiTheme="majorHAnsi" w:hAnsiTheme="majorHAnsi" w:cstheme="majorHAnsi"/>
          <w:sz w:val="20"/>
          <w:szCs w:val="20"/>
        </w:rPr>
        <w:fldChar w:fldCharType="separate"/>
      </w:r>
      <w:r>
        <w:rPr>
          <w:rFonts w:asciiTheme="majorHAnsi" w:hAnsiTheme="majorHAnsi" w:cstheme="majorHAnsi"/>
          <w:noProof/>
          <w:sz w:val="20"/>
          <w:szCs w:val="20"/>
        </w:rPr>
        <w:instrText>«TargetProfessions»</w:instrText>
      </w:r>
      <w:r>
        <w:rPr>
          <w:rFonts w:asciiTheme="majorHAnsi" w:hAnsiTheme="majorHAnsi" w:cstheme="majorHAnsi"/>
          <w:sz w:val="20"/>
          <w:szCs w:val="20"/>
        </w:rPr>
        <w:fldChar w:fldCharType="end"/>
      </w:r>
      <w:r>
        <w:rPr>
          <w:rFonts w:asciiTheme="majorHAnsi" w:hAnsiTheme="majorHAnsi" w:cstheme="majorHAnsi"/>
          <w:sz w:val="20"/>
          <w:szCs w:val="20"/>
        </w:rPr>
        <w:instrText>" ""</w:instrText>
      </w:r>
      <w:r>
        <w:rPr>
          <w:rFonts w:asciiTheme="majorHAnsi" w:hAnsiTheme="majorHAnsi" w:cstheme="majorHAnsi"/>
          <w:sz w:val="20"/>
          <w:szCs w:val="20"/>
        </w:rPr>
        <w:fldChar w:fldCharType="separate"/>
      </w:r>
      <w:r w:rsidR="004B359F">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7052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00914135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3.00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3.00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3.00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01724018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3.00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3.00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558588957"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3.00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274708574"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684052252"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688648006"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w:t>
      </w:r>
      <w:r w:rsidRPr="00F754C3">
        <w:rPr>
          <w:rFonts w:asciiTheme="majorHAnsi" w:hAnsiTheme="majorHAnsi" w:cstheme="majorHAnsi"/>
          <w:sz w:val="16"/>
          <w:szCs w:val="16"/>
        </w:rPr>
        <w: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continuing education credits.</w:t>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DeLozier, MS, LPC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Farris, English and Media Studies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Audrey Harris,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Mindi L Henry,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Michaelle Holbird,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Lesley Landis,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Alexandria Lescher, D.Be.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Latonya Mason-Wilson, MSN, NE-BC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C McVey,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Audrey Mikhail,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D Ullrich, MS, DBe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Bell, RN, BSN,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Audrey Corbett,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 C Gilmartin, RN, CHPN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Lindsey N Green, DNP, APRN-CNS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Nicole Coburn,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Miller,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Allyson J Oyler,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