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Honoring Earth Day in Practice: Ascension's Commitment to Care for Our Common Home</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April 23, 2025 — 11:00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Learn about Ascension’s sustainability efforts; its connection to our Catholic identity; and how care for the environment benefits our patients and communities in tangible ways.</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Inform participants of Ascension’s commitment to reducing our environmental footprint.</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 xml:space="preserve">2 Strengthen our Catholic Ministry Identity and Culture through an understanding of how these efforts align with organizational and universal stewardship and the encyclical ''Laudato Si'''' </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 xml:space="preserve">3 Create an understanding of how we promote equitable access to resources that improve community health and the lives of individuals we serve. </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 xml:space="preserve">4 Learn practical tips and strategies to adopt a more sustainable life at work and at home. </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Other</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Other</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Other</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9504"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1074972862"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1.00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35082119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895778069"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4384"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234745761"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t xml:space="preserve">This knowledge-based activity qualifies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contact hours of continuing pharmacy education credit.</w:t>
      </w:r>
      <w:r w:rsidR="009A3DCE">
        <w:rPr>
          <w:rFonts w:asciiTheme="majorHAnsi" w:hAnsiTheme="majorHAnsi" w:cstheme="majorHAnsi"/>
          <w:sz w:val="16"/>
          <w:szCs w:val="16"/>
        </w:rPr>
        <w:t xml:space="preserve"> </w:t>
      </w:r>
      <w:r w:rsidRPr="00F754C3">
        <w:rPr>
          <w:rFonts w:asciiTheme="majorHAnsi" w:hAnsiTheme="majorHAnsi" w:cstheme="majorHAnsi"/>
          <w:sz w:val="16"/>
          <w:szCs w:val="16"/>
        </w:rPr>
        <w:t>Pharmacy CE credits will be submitted electronically to the NABP upon successful completion of the activity.</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2836AF">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232447601"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continuing education credits.</w:t>
      </w:r>
    </w:p>
    <w:p w:rsidR="004914A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022247" w:rsidR="004914AA">
        <w:rPr>
          <w:rFonts w:asciiTheme="majorHAnsi" w:hAnsiTheme="majorHAnsi" w:cstheme="majorHAnsi"/>
          <w:sz w:val="16"/>
          <w:szCs w:val="16"/>
        </w:rPr>
        <w:fldChar w:fldCharType="begin"/>
      </w:r>
      <w:r w:rsidRPr="00022247" w:rsidR="004914AA">
        <w:rPr>
          <w:rFonts w:asciiTheme="majorHAnsi" w:hAnsiTheme="majorHAnsi" w:cstheme="majorHAnsi"/>
          <w:sz w:val="16"/>
          <w:szCs w:val="16"/>
        </w:rPr>
        <w:instrText xml:space="preserve"> IF </w:instrText>
      </w:r>
      <w:r w:rsidRPr="00022247" w:rsidR="004914AA">
        <w:rPr>
          <w:rFonts w:asciiTheme="majorHAnsi" w:hAnsiTheme="majorHAnsi" w:cstheme="majorHAnsi"/>
          <w:sz w:val="16"/>
          <w:szCs w:val="16"/>
        </w:rPr>
        <w:instrText>0.00</w:instrText>
      </w:r>
      <w:r w:rsidRPr="00022247" w:rsidR="004914AA">
        <w:rPr>
          <w:rFonts w:asciiTheme="majorHAnsi" w:hAnsiTheme="majorHAnsi" w:cstheme="majorHAnsi"/>
          <w:sz w:val="16"/>
          <w:szCs w:val="16"/>
        </w:rPr>
        <w:instrText xml:space="preserve"> &gt; 0 "</w:instrText>
      </w:r>
      <w:r w:rsidRPr="00022247" w:rsidR="004914AA">
        <w:rPr>
          <w:rFonts w:asciiTheme="majorHAnsi" w:hAnsiTheme="majorHAnsi" w:cstheme="majorHAnsi"/>
          <w:noProof/>
          <w:sz w:val="16"/>
          <w:szCs w:val="16"/>
        </w:rPr>
        <w:drawing>
          <wp:anchor distT="0" distB="0" distL="0" distR="27305" simplePos="0" relativeHeight="251670528"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sidR="004914AA">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71552"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Kenney,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Chandra Smolen,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Social Work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Vanessa M Voce Strackbein,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Stacy Garrett-Ray, MD, MPH,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Waldron,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Lois Sechrist, Bachelor of Interior Architecture, LEED Accredited Professional</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Terrine Brown, MS Communication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Ellie Wilser,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Dessa Warner, BS, Sociology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Andrew Hahn, BS, Culinary Arts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Scher,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- 04/03/2025</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