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3rd Annual IMPRES Conference</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June 26, 2026 — 6:00 PM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The IMPRES Conference was designed by local and regional colleagues to provide evidence-based research on pediatric epilepsy surgery as well as highlight collaboration between pediatric epilepsy centers and programs</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1 Physician/Learners will be able to discuss etiology, pathophysiology, assessment, treatment plans and evaluation of infants and children with epilepsy.</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Nursing/Learners will identify how evidence-based communication and interprofessional teams including support groups can improve care of children with epilepsy.</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3 Interdisciplinary Audience/Learners will identify the role of interdisciplinary care in managing patients with epilepsy.</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1 Physician/Learners will be able to discuss etiology, pathophysiology, assessment, treatment plans and evaluation of infants and children with epilepsy.</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Nursing/Learners will identify how evidence-based communication and interprofessional teams including support groups can improve care of children with epilepsy.</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3 Interdisciplinary Audience/Learners will identify the role of interdisciplinary care in managing patients with epilepsy.</w:instrText>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1 Physician/Learners will be able to discuss etiology, pathophysiology, assessment, treatment plans and evaluation of infants and children with epilepsy.</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Nursing/Learners will identify how evidence-based communication and interprofessional teams including support groups can improve care of children with epilepsy.</w:t>
      </w: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3 Interdisciplinary Audience/Learners will identify the role of interdisciplinary care in managing patients with epilepsy.</w:t>
      </w: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9.50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Neurology, Neurosurgery</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Neurology, Neurosurgery</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Neurology, Neurosurgery</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Physician, Physician Assistant, Psychologists, Nurse, Social Workers, Advanced Practice Nurse</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instrText>Physician, Physician Assistant, Psychologists, Nurse, Social Workers, Advanced Practice Nurse</w:instrText>
      </w:r>
      <w:r>
        <w:rPr>
          <w:rFonts w:asciiTheme="majorHAnsi" w:hAnsiTheme="majorHAnsi" w:cstheme="majorHAnsi"/>
          <w:sz w:val="20"/>
          <w:szCs w:val="20"/>
        </w:rPr>
        <w:instrText>"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Professions: </w:t>
      </w:r>
      <w:r>
        <w:rPr>
          <w:rFonts w:asciiTheme="majorHAnsi" w:hAnsiTheme="majorHAnsi" w:cstheme="majorHAnsi"/>
          <w:sz w:val="20"/>
          <w:szCs w:val="20"/>
        </w:rPr>
        <w:t>Physician, Physician Assistant, Psychologists, Nurse, Social Workers, Advanced Practice Nurse</w:t>
      </w:r>
      <w:r>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9.50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8480"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9.50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69504"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1753224668"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9.50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9.50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instrText>Live Activity</w:instrText>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instrText>9.50</w:instrText>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00C83154">
        <w:rPr>
          <w:rFonts w:asciiTheme="majorHAnsi" w:hAnsiTheme="majorHAnsi" w:cstheme="majorHAnsi"/>
          <w:noProof/>
          <w:sz w:val="16"/>
          <w:szCs w:val="16"/>
        </w:rPr>
        <w:drawing>
          <wp:anchor distT="0" distB="0" distL="0" distR="27305" simplePos="0" relativeHeight="251660288"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906143224"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t xml:space="preserve">Ascension designates this </w:t>
      </w:r>
      <w:r w:rsidR="003428F9">
        <w:rPr>
          <w:rFonts w:asciiTheme="majorHAnsi" w:hAnsiTheme="majorHAnsi" w:cstheme="majorHAnsi"/>
          <w:sz w:val="16"/>
          <w:szCs w:val="16"/>
        </w:rPr>
        <w:t>Live Activity</w:t>
      </w:r>
      <w:r w:rsidR="003428F9">
        <w:rPr>
          <w:rFonts w:asciiTheme="majorHAnsi" w:hAnsiTheme="majorHAnsi" w:cstheme="majorHAnsi"/>
          <w:sz w:val="16"/>
          <w:szCs w:val="16"/>
        </w:rPr>
        <w:t xml:space="preserve"> for a maximum of </w:t>
      </w:r>
      <w:r w:rsidR="003428F9">
        <w:rPr>
          <w:rFonts w:asciiTheme="majorHAnsi" w:hAnsiTheme="majorHAnsi" w:cstheme="majorHAnsi"/>
          <w:sz w:val="16"/>
          <w:szCs w:val="16"/>
        </w:rPr>
        <w:t>9.50</w:t>
      </w:r>
      <w:r w:rsidR="003428F9">
        <w:rPr>
          <w:rFonts w:asciiTheme="majorHAnsi" w:hAnsiTheme="majorHAnsi" w:cstheme="majorHAnsi"/>
          <w:sz w:val="16"/>
          <w:szCs w:val="16"/>
        </w:rPr>
        <w:t xml:space="preserve"> </w:t>
      </w:r>
      <w:r w:rsidR="003428F9">
        <w:rPr>
          <w:rFonts w:asciiTheme="majorHAnsi" w:hAnsiTheme="majorHAnsi" w:cstheme="majorHAnsi"/>
          <w:i/>
          <w:iCs/>
          <w:sz w:val="16"/>
          <w:szCs w:val="16"/>
        </w:rPr>
        <w:t>AMA PRA Category 1 Credit(s)</w:t>
      </w:r>
      <w:r w:rsidR="003428F9">
        <w:rPr>
          <w:rFonts w:ascii="Calibri Light" w:hAnsi="Calibri Light" w:cs="Calibri Light"/>
          <w:i/>
          <w:iCs/>
          <w:sz w:val="16"/>
          <w:szCs w:val="16"/>
        </w:rPr>
        <w:t>™</w:t>
      </w:r>
      <w:r w:rsidR="003428F9">
        <w:rPr>
          <w:rFonts w:asciiTheme="majorHAnsi" w:hAnsiTheme="majorHAnsi" w:cstheme="majorHAnsi"/>
          <w:sz w:val="16"/>
          <w:szCs w:val="16"/>
        </w:rPr>
        <w:t>. Physicians should claim only the credit commensurate with the exten</w:t>
      </w:r>
      <w:r w:rsidR="00C83154">
        <w:rPr>
          <w:rFonts w:asciiTheme="majorHAnsi" w:hAnsiTheme="majorHAnsi" w:cstheme="majorHAnsi"/>
          <w:sz w:val="16"/>
          <w:szCs w:val="16"/>
        </w:rPr>
        <w:t>t of their participation in the activity.</w: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Pr="003428F9" w:rsidP="00EB3966">
      <w:pPr>
        <w:pStyle w:val="NormalWeb"/>
        <w:spacing w:before="0" w:beforeAutospacing="0" w:after="0" w:afterAutospacing="0"/>
        <w:contextualSpacing/>
        <w:rPr>
          <w:rFonts w:asciiTheme="majorHAnsi" w:hAnsiTheme="majorHAnsi" w:cstheme="majorHAnsi"/>
          <w:sz w:val="16"/>
          <w:szCs w:val="16"/>
        </w:rPr>
      </w:pPr>
      <w:r w:rsidRPr="003428F9">
        <w:rPr>
          <w:rFonts w:asciiTheme="majorHAnsi" w:hAnsiTheme="majorHAnsi" w:cstheme="majorHAnsi"/>
          <w:sz w:val="16"/>
          <w:szCs w:val="16"/>
        </w:rPr>
        <w:fldChar w:fldCharType="end"/>
      </w:r>
      <w:r w:rsidRPr="00F754C3" w:rsidR="00F754C3">
        <w:rPr>
          <w:rFonts w:asciiTheme="majorHAnsi" w:hAnsiTheme="majorHAnsi" w:cstheme="majorHAnsi"/>
          <w:sz w:val="16"/>
          <w:szCs w:val="16"/>
        </w:rPr>
        <w:fldChar w:fldCharType="begin"/>
      </w:r>
      <w:r w:rsidRPr="00F754C3" w:rsid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9.50</w:instrText>
      </w:r>
      <w:r w:rsidRPr="00F754C3" w:rsid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sidR="00F754C3">
        <w:rPr>
          <w:rFonts w:asciiTheme="majorHAnsi" w:hAnsiTheme="majorHAnsi" w:cstheme="majorHAnsi"/>
          <w:sz w:val="16"/>
          <w:szCs w:val="16"/>
        </w:rPr>
        <w:instrText xml:space="preserve">This activity is awarded </w:instrText>
      </w:r>
      <w:r w:rsidRPr="00F754C3" w:rsidR="00F754C3">
        <w:rPr>
          <w:rFonts w:asciiTheme="majorHAnsi" w:hAnsiTheme="majorHAnsi" w:cstheme="majorHAnsi"/>
          <w:sz w:val="16"/>
          <w:szCs w:val="16"/>
        </w:rPr>
        <w:instrText>9.50</w:instrText>
      </w:r>
      <w:r w:rsidR="00F8142C">
        <w:rPr>
          <w:rFonts w:asciiTheme="majorHAnsi" w:hAnsiTheme="majorHAnsi" w:cstheme="majorHAnsi"/>
          <w:sz w:val="16"/>
          <w:szCs w:val="16"/>
        </w:rPr>
        <w:instrText xml:space="preserve"> ANCC</w:instrText>
      </w:r>
      <w:r w:rsidRPr="00F754C3" w:rsid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030112855"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9.50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9.50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3360"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instrText>9.50</w:instrText>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DB4085">
        <w:rPr>
          <w:rFonts w:asciiTheme="majorHAnsi" w:hAnsiTheme="majorHAnsi" w:cstheme="majorHAnsi"/>
          <w:noProof/>
          <w:sz w:val="16"/>
          <w:szCs w:val="16"/>
        </w:rPr>
        <w:drawing>
          <wp:anchor distT="0" distB="0" distL="0" distR="0" simplePos="0" relativeHeight="251664384"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448010863"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t xml:space="preserve">Ascension has been authorized by the American Academy of PAs (AAPA) to award AAPA Category 1 CME credit for activities planned in accordance with AAPA CME Criteria. This activity is designated for </w:t>
      </w:r>
      <w:r w:rsidRPr="00F754C3">
        <w:rPr>
          <w:rFonts w:asciiTheme="majorHAnsi" w:hAnsiTheme="majorHAnsi" w:cstheme="majorHAnsi"/>
          <w:sz w:val="16"/>
          <w:szCs w:val="16"/>
        </w:rPr>
        <w:t>9.50</w:t>
      </w:r>
      <w:r w:rsidRPr="00F754C3">
        <w:rPr>
          <w:rFonts w:asciiTheme="majorHAnsi" w:hAnsiTheme="majorHAnsi" w:cstheme="majorHAnsi"/>
          <w:sz w:val="16"/>
          <w:szCs w:val="16"/>
        </w:rPr>
        <w:t xml:space="preserve"> AAPA Category 1 CME credits. PAs should only claim credit commensurate with the extent of their participation.</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5408"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ACPEHoursMax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«ACPEHoursMax»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9.50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6432"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instrText>9.50</w:instrText>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2836AF">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410069751"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t>
      </w:r>
      <w:r w:rsidRPr="00F754C3">
        <w:rPr>
          <w:rFonts w:asciiTheme="majorHAnsi" w:hAnsiTheme="majorHAnsi" w:cstheme="majorHAnsi"/>
          <w:sz w:val="16"/>
          <w:szCs w:val="16"/>
        </w:rPr>
        <w:t>9.50</w:t>
      </w:r>
      <w:r w:rsidRPr="00F754C3">
        <w:rPr>
          <w:rFonts w:asciiTheme="majorHAnsi" w:hAnsiTheme="majorHAnsi" w:cstheme="majorHAnsi"/>
          <w:sz w:val="16"/>
          <w:szCs w:val="16"/>
        </w:rPr>
        <w:t xml:space="preserve"> continuing education credits.</w:t>
      </w:r>
    </w:p>
    <w:p w:rsidR="004914A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022247" w:rsidR="004914AA">
        <w:rPr>
          <w:rFonts w:asciiTheme="majorHAnsi" w:hAnsiTheme="majorHAnsi" w:cstheme="majorHAnsi"/>
          <w:sz w:val="16"/>
          <w:szCs w:val="16"/>
        </w:rPr>
        <w:fldChar w:fldCharType="begin"/>
      </w:r>
      <w:r w:rsidRPr="00022247" w:rsidR="004914AA">
        <w:rPr>
          <w:rFonts w:asciiTheme="majorHAnsi" w:hAnsiTheme="majorHAnsi" w:cstheme="majorHAnsi"/>
          <w:sz w:val="16"/>
          <w:szCs w:val="16"/>
        </w:rPr>
        <w:instrText xml:space="preserve"> IF </w:instrText>
      </w:r>
      <w:r w:rsidRPr="00022247" w:rsidR="004914AA">
        <w:rPr>
          <w:rFonts w:asciiTheme="majorHAnsi" w:hAnsiTheme="majorHAnsi" w:cstheme="majorHAnsi"/>
          <w:sz w:val="16"/>
          <w:szCs w:val="16"/>
        </w:rPr>
        <w:instrText>9.50</w:instrText>
      </w:r>
      <w:r w:rsidRPr="00022247" w:rsidR="004914AA">
        <w:rPr>
          <w:rFonts w:asciiTheme="majorHAnsi" w:hAnsiTheme="majorHAnsi" w:cstheme="majorHAnsi"/>
          <w:sz w:val="16"/>
          <w:szCs w:val="16"/>
        </w:rPr>
        <w:instrText xml:space="preserve"> &gt; 0 "</w:instrText>
      </w:r>
      <w:r w:rsidRPr="00022247" w:rsidR="004914AA">
        <w:rPr>
          <w:rFonts w:asciiTheme="majorHAnsi" w:hAnsiTheme="majorHAnsi" w:cstheme="majorHAnsi"/>
          <w:noProof/>
          <w:sz w:val="16"/>
          <w:szCs w:val="16"/>
        </w:rPr>
        <w:drawing>
          <wp:anchor distT="0" distB="0" distL="0" distR="27305" simplePos="0" relativeHeight="251670528"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sidR="004914AA">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sidR="004914AA">
        <w:rPr>
          <w:rFonts w:asciiTheme="majorHAnsi" w:hAnsiTheme="majorHAnsi" w:cstheme="majorHAnsi"/>
          <w:noProof/>
          <w:sz w:val="16"/>
          <w:szCs w:val="16"/>
        </w:rPr>
        <w:drawing>
          <wp:anchor distT="0" distB="0" distL="0" distR="27305" simplePos="0" relativeHeight="251671552"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39952052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sidR="004914AA">
        <w:rPr>
          <w:rFonts w:asciiTheme="majorHAnsi" w:hAnsiTheme="majorHAnsi" w:cstheme="majorHAnsi"/>
          <w:sz w:val="16"/>
          <w:szCs w:val="16"/>
        </w:rPr>
        <w:t>Continuing Education (CE) credits for psychologists are provided through the co-sponsorship of the American Psychological Association (APA) Office of Continuing Education in Psychology (CEP). The APA CEP Office maintains responsibility for the content of the programs.</w: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Pr="00022247" w:rsidP="00733EDA">
      <w:pPr>
        <w:contextualSpacing/>
        <w:rPr>
          <w:rFonts w:asciiTheme="majorHAnsi" w:hAnsiTheme="majorHAnsi" w:cstheme="majorHAnsi"/>
          <w:sz w:val="16"/>
          <w:szCs w:val="16"/>
        </w:rPr>
      </w:pP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sidR="00733EDA">
        <w:rPr>
          <w:rFonts w:asciiTheme="majorHAnsi" w:hAnsiTheme="majorHAnsi" w:cstheme="majorHAnsi"/>
          <w:sz w:val="16"/>
          <w:szCs w:val="16"/>
        </w:rPr>
        <w:fldChar w:fldCharType="begin"/>
      </w:r>
      <w:r w:rsidRPr="00733EDA" w:rsidR="00733EDA">
        <w:rPr>
          <w:rFonts w:asciiTheme="majorHAnsi" w:hAnsiTheme="majorHAnsi" w:cstheme="majorHAnsi"/>
          <w:sz w:val="16"/>
          <w:szCs w:val="16"/>
        </w:rPr>
        <w:instrText xml:space="preserve"> IF </w:instrText>
      </w:r>
      <w:r w:rsidRPr="00733EDA" w:rsidR="00733EDA">
        <w:rPr>
          <w:rFonts w:asciiTheme="majorHAnsi" w:hAnsiTheme="majorHAnsi" w:cstheme="majorHAnsi"/>
          <w:sz w:val="16"/>
          <w:szCs w:val="16"/>
        </w:rPr>
        <w:instrText>0.00</w:instrText>
      </w:r>
      <w:r w:rsidR="00733EDA">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72576"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Ahmed Abdelmoity,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Bureau-Livanova, Inc|Speakers Bureau-UCB (Relationship has ended)|Speakers Bureau-Jazz Pharmaceuticals, Inc (Relationship has ended)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Raheel Ahmed,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Arndt,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research)-Livanova - 01/28/2026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Dave Clarke,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 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Fee-Neurelis - 01/22/2026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Gabrielle Conecker,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Honoraria-Jazz Pharmaceuticals, Inc. (Relationship has ended)|Honoraria-Lundbeck, Inc. (Relationship has ended)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Rosario DeLeon,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Evankovich,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Freedman,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Abby Glock, MSW, LCSW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Social Work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Zachary Grinspan,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Liberty Hamilton,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 Omar Iqbal,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Dhruve Jeevan,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Monika Jones, JD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Keene,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Ammar Kheder,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Travel and hospitality support related to faculty participation in educational courses on stereoelectroencephalography (SEEG).-Dixi Mecical |Other: Personal fees-Neurelis|Other: Personal fees-Catalyst Pharmaceuticals (Relationship has ended)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Sookyong Koh,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Fee-SK Life Science (Relationship has ended)|Consulting Fee-Takeda Pharmaceuticals (Any division) (Relationship has ended)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Alison Kukla,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Sandi K Lam, MD,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Fee-Jaguar Therapeutics|Consulting Fee-Encoded Therapeutics|Grant or research support-LivaNova (Relationship has ended)|Honoraria-Aesculap (Relationship has ended)|Membership on Advisory Committees or Review Panels, Board Membership, etc.-Pediatric Epilepsy Surgery Alliance|Consulting Fee-Ovid Therapeutics|Advisor-Synergia|Membership on Advisory Committees or Review Panels, Board Membership, etc.-LivaNova|Grant or research support-Centered Outcomes Research Institute |Grant or research support-National Institutes of Health|Grant or research support-National Science Foundation|Grant or research support-Northwestern Inst. of Global Health - 02/02/2026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Bernice Martin Lee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etc.-UCB - 02/25/2026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Allie Melendez-Zaidi,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Fee-Stoke (Relationship has ended)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Ilene Miller, JD, LLM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Chelsey B Ortman,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Scott Perry,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consultant-Stoke therapeutics|Paid consultant-UCB|Honoraria-Neurelis|Honoraria-Biocodex|Honoraria-Marinus (Relationship has ended)|Honoraria-Pyros (Relationship has ended)|Stocks or stock options, excluding diversified mutual funds-Praxis Precision Medicine|Stocks or stock options, excluding diversified mutual funds-Mind Medicine|Stocks or stock options, excluding diversified mutual funds-Biohaven|Stocks or stock options, excluding diversified mutual funds-Rapport therapeutics|Stocks or stock options, excluding diversified mutual funds-Alto Neurosciences|Membership on Advisory Committees or Review Panels, Board Membership, etc.-Child Neurology Foundation|Membership on Advisory Committees or Review Panels, Board Membership, etc.-Pediatric Epilepsy Research Consortium|Membership on Advisory Committees or Review Panels, Board Membership, etc.-Lennox Gastaut Syndrome Foundation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Ramirez,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Jim Riviello,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Jacob Rosenbaum,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Rana Said,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Carter Snead,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B Titus, PhD, FAES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Psychologist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Valverde,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Jorge A. Vidaurre,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Manuel Vides,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Howard Weiner,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Elysa Widjaja,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Janet Wilson, APRN, CPNP-PC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Fee-Ajinomoto Cambrooke, Inc (Relationship has ended)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Wolf,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support-Eisai, Inc. (Relationship has ended)|Grant or research support-SKlife|Speakers Bureau-LivaNova |Grant or research support-Jazz Pharmaceuticals, Inc.|Speakers Bureau-Jazz Pharmaceuticals, Inc.|Grant or research support-Aquestive (Relationship has ended)|Speakers Bureau-Neurilis |Grant or research support-Neurilis |Grant or research support-UCB|Speakers Bureau-UCB|Grant or research support-Longboard (Relationship has ended)|Grant or research support-Takeda (Relationship has ended)|Speakers Bureau-Monteris |Speakers Bureau-marinus (Relationship has ended)|Grant or research support-biohaven|Advisor-Assertio - 01/22/2026</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