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Interdisciplinary Stroke Symposium 2022</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December 9, 2022 — 8:00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activity will provide an overview of inpatient management of stroke and carotid artery disease patients. Applying best practices and prevention in complications through excellence in care. Target audience for this activity is nurses, nurse practitioners, physician assistants, social workers, and allied health professionals.</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Implement consistent and thorough oral hygiene procedures in stroke patients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Implement consistent and thorough oral hygiene procedures in stroke patients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Implement consistent and thorough oral hygiene procedures in stroke patients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Review appropriate assessments and interventions following revascularization procedures for carotid artery disease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Review appropriate assessments and interventions following revascularization procedures for carotid artery disease.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Review appropriate assessments and interventions following revascularization procedures for carotid artery disease.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Define various radiological studies used in the diagnosis and treatment of stroke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Define various radiological studies used in the diagnosis and treatment of stroke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Define various radiology studies used in the diagnosis and treatment of stroke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4 Discuss current evidence and best practice strategies for enhancing patient self efficacy after stroke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4 Discuss current evidence, complications, and best practices strategies for acute stroke care.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4 Discuss current evidence, complications, and best practices strategies for acute stroke care.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Implement consistent and thorough oral hygiene procedures in stroke patients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Review appropriate assessments and interventions following revascularization procedures for carotid artery disease.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Define various radiological studies used in the diagnosis and treatment of stroke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5 Discuss current evidence, complications, and best practices strategies for acute stroke care.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Implement consistent and thorough oral hygiene procedures in stroke patients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Review appropriate assessments and interventions following revascularization procedures for carotid artery disease.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Define various radiological studies used in the diagnosis and treatment of stroke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5 Discuss current evidence, complications, and best practices strategies for acute stroke care.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Implement consistent and thorough oral hygiene procedures in stroke patients</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Review appropriate assessments and interventions following revascularization procedures for carotid artery disease.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5 Define various radiological studies used in the diagnosis and treatment of stroke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5 Discuss current evidence, complications, and best practices strategies for acute stroke care. </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Neurology</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Neurology</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Neurology</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Assistant, Nurse, Social Workers,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6D2097"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Assistant, Nurse, Social Workers,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Assistant, Nurse, Social Workers,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6D2097">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6">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Pr="00022247" w:rsidR="00022247">
        <w:rPr>
          <w:rFonts w:asciiTheme="majorHAnsi" w:hAnsiTheme="majorHAnsi" w:cstheme="majorHAnsi"/>
          <w:sz w:val="16"/>
          <w:szCs w:val="16"/>
        </w:rPr>
        <w:instrText>Genesys Regional Medical Center (GRMC)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3.00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3.00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5468444"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3.00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3.00</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3.00</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3543391"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3.00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3.00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instrText>3.00</w:instrText>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036186048"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0">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t xml:space="preserve">Ascension has been authorized by the American Academy of PAs (AAPA) to award AAPA Category 1 CME credit for activities planned in accordance with AAPA CME Criteria. This activity is designated for </w:t>
      </w:r>
      <w:r w:rsidRPr="00F754C3">
        <w:rPr>
          <w:rFonts w:asciiTheme="majorHAnsi" w:hAnsiTheme="majorHAnsi" w:cstheme="majorHAnsi"/>
          <w:sz w:val="16"/>
          <w:szCs w:val="16"/>
        </w:rPr>
        <w:t>3.00</w:t>
      </w:r>
      <w:r w:rsidRPr="00F754C3">
        <w:rPr>
          <w:rFonts w:asciiTheme="majorHAnsi" w:hAnsiTheme="majorHAnsi" w:cstheme="majorHAnsi"/>
          <w:sz w:val="16"/>
          <w:szCs w:val="16"/>
        </w:rPr>
        <w:t xml:space="preserve"> AAPA Category 1 CME credits. PAs should only claim credit commensurate with the extent of their participation.</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6D2097">
        <w:rPr>
          <w:rFonts w:asciiTheme="majorHAnsi" w:hAnsiTheme="majorHAnsi" w:cstheme="majorHAnsi"/>
          <w:noProof/>
          <w:sz w:val="16"/>
          <w:szCs w:val="16"/>
        </w:rPr>
        <w:instrText>3.00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3.00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279129670"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3.00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0.00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"GRMC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A Credit(s) and will report CME and specialty credits commensurate with the extent of the physician’s participation in this activity." ""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Lenzi Kaub, DNP, APRN, FNP-C,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Leighann Persondek, MSN, ACNP-BC, CNRN, ANVP-BC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Rachel Shirk, M.S., CCC-SLP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Kathryn Boomer,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PA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Jenna Lehrman,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Fawn A McDonough,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Jodi Ryan,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Donna Wilson, DNP, APRN, ACNS-BC, CNRN, CMSRN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Lindsey Brittain, Masters Social Work, LMSW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 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- 06/28/2022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6D2097">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Bogner, Mark</cp:lastModifiedBy>
  <cp:revision>6</cp:revision>
  <dcterms:created xsi:type="dcterms:W3CDTF">2022-01-05T19:36:00Z</dcterms:created>
  <dcterms:modified xsi:type="dcterms:W3CDTF">2022-09-29T18:08:00Z</dcterms:modified>
</cp:coreProperties>
</file>