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Neonatal Grand Rounds - Neonatal Kidney Health</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March 30, 2026 — 1:00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Neonatal Care practices continue to evolve and improve. Ongoing research and quality improvement initiatives in the neonatal care specialty and supporting sub-specialties require exploration and understanding for proper implementation into practice. This program will provide neonatal care providers current trends in care with supportive data, evidence-based practices, and early recognition of neonatal conditions that require consultation and intervention with sub specialists. This continuous quality improvement activity in the care of infants is one way to address the high infant mortality rates in the state of Indiana and nationally</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1 Discuss the pathophysiology or physiologic impact of the neonatal condition/topic presented. </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Identify care improvement strategies related to the neonatal condition/topic presented</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Explain the importance of early recognition for specialty consultation and involvement as needed for the neonatal condition/topic presented</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 xml:space="preserve">1 Discuss the pathophysiology or physiologic impact of the neonatal condition/topic presented. </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Identify care improvement strategies related to the neonatal condition/topic presented</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Explain the importance of early recognition for specialty consultation and involvement as needed for the neonatal condition/topic presented</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 xml:space="preserve">1 Discuss the pathophysiology or physiologic impact of the neonatal condition/topic presented. </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Identify care improvement strategies related to the neonatal condition/topic presented</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Explain the importance of early recognition for specialty consultation and involvement as needed for the neonatal condition/topic presented</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1.00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Neonatal</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Neonatal</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Neonatal</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begin"/>
      </w:r>
      <w:r>
        <w:rPr>
          <w:rFonts w:asciiTheme="majorHAnsi" w:hAnsiTheme="majorHAnsi" w:cstheme="majorHAnsi"/>
          <w:sz w:val="20"/>
          <w:szCs w:val="20"/>
        </w:rPr>
        <w:instrText xml:space="preserve"> MERGEFIELD </w:instrText>
      </w:r>
      <w:r w:rsidR="00440D15">
        <w:rPr>
          <w:rFonts w:asciiTheme="majorHAnsi" w:hAnsiTheme="majorHAnsi" w:cstheme="majorHAnsi"/>
          <w:sz w:val="20"/>
          <w:szCs w:val="20"/>
        </w:rPr>
        <w:instrText>Target</w:instrText>
      </w: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separate"/>
      </w:r>
      <w:r>
        <w:rPr>
          <w:rFonts w:asciiTheme="majorHAnsi" w:hAnsiTheme="majorHAnsi" w:cstheme="majorHAnsi"/>
          <w:noProof/>
          <w:sz w:val="20"/>
          <w:szCs w:val="20"/>
        </w:rPr>
        <w:instrText>«TargetProfessions»</w:instrText>
      </w:r>
      <w:r>
        <w:rPr>
          <w:rFonts w:asciiTheme="majorHAnsi" w:hAnsiTheme="majorHAnsi" w:cstheme="majorHAnsi"/>
          <w:sz w:val="20"/>
          <w:szCs w:val="20"/>
        </w:rPr>
        <w:fldChar w:fldCharType="end"/>
      </w:r>
      <w:r>
        <w:rPr>
          <w:rFonts w:asciiTheme="majorHAnsi" w:hAnsiTheme="majorHAnsi" w:cstheme="majorHAnsi"/>
          <w:sz w:val="20"/>
          <w:szCs w:val="20"/>
        </w:rPr>
        <w:instrText>" ""</w:instrText>
      </w:r>
      <w:r>
        <w:rPr>
          <w:rFonts w:asciiTheme="majorHAnsi" w:hAnsiTheme="majorHAnsi" w:cstheme="majorHAnsi"/>
          <w:sz w:val="20"/>
          <w:szCs w:val="20"/>
        </w:rPr>
        <w:fldChar w:fldCharType="separate"/>
      </w:r>
      <w:r w:rsidR="004B359F">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9504"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70528"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1368528726"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1.00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instrText>Enduring Material</w:instrText>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00C83154">
        <w:rPr>
          <w:rFonts w:asciiTheme="majorHAnsi" w:hAnsiTheme="majorHAnsi" w:cstheme="majorHAnsi"/>
          <w:noProof/>
          <w:sz w:val="16"/>
          <w:szCs w:val="16"/>
        </w:rPr>
        <w:drawing>
          <wp:anchor distT="0" distB="0" distL="0" distR="27305" simplePos="0" relativeHeight="251660288"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297048873"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t xml:space="preserve">Ascension designates this </w:t>
      </w:r>
      <w:r w:rsidR="003428F9">
        <w:rPr>
          <w:rFonts w:asciiTheme="majorHAnsi" w:hAnsiTheme="majorHAnsi" w:cstheme="majorHAnsi"/>
          <w:sz w:val="16"/>
          <w:szCs w:val="16"/>
        </w:rPr>
        <w:t>Enduring Material</w:t>
      </w:r>
      <w:r w:rsidR="003428F9">
        <w:rPr>
          <w:rFonts w:asciiTheme="majorHAnsi" w:hAnsiTheme="majorHAnsi" w:cstheme="majorHAnsi"/>
          <w:sz w:val="16"/>
          <w:szCs w:val="16"/>
        </w:rPr>
        <w:t xml:space="preserve"> for a maximum of </w:t>
      </w:r>
      <w:r w:rsidR="003428F9">
        <w:rPr>
          <w:rFonts w:asciiTheme="majorHAnsi" w:hAnsiTheme="majorHAnsi" w:cstheme="majorHAnsi"/>
          <w:sz w:val="16"/>
          <w:szCs w:val="16"/>
        </w:rPr>
        <w:t>1.00</w:t>
      </w:r>
      <w:r w:rsidR="003428F9">
        <w:rPr>
          <w:rFonts w:asciiTheme="majorHAnsi" w:hAnsiTheme="majorHAnsi" w:cstheme="majorHAnsi"/>
          <w:sz w:val="16"/>
          <w:szCs w:val="16"/>
        </w:rPr>
        <w:t xml:space="preserve"> </w:t>
      </w:r>
      <w:r w:rsidR="003428F9">
        <w:rPr>
          <w:rFonts w:asciiTheme="majorHAnsi" w:hAnsiTheme="majorHAnsi" w:cstheme="majorHAnsi"/>
          <w:i/>
          <w:iCs/>
          <w:sz w:val="16"/>
          <w:szCs w:val="16"/>
        </w:rPr>
        <w:t>AMA PRA Category 1 Credit(s)</w:t>
      </w:r>
      <w:r w:rsidR="003428F9">
        <w:rPr>
          <w:rFonts w:ascii="Calibri Light" w:hAnsi="Calibri Light" w:cs="Calibri Light"/>
          <w:i/>
          <w:iCs/>
          <w:sz w:val="16"/>
          <w:szCs w:val="16"/>
        </w:rPr>
        <w:t>™</w:t>
      </w:r>
      <w:r w:rsidR="003428F9">
        <w:rPr>
          <w:rFonts w:asciiTheme="majorHAnsi" w:hAnsiTheme="majorHAnsi" w:cstheme="majorHAnsi"/>
          <w:sz w:val="16"/>
          <w:szCs w:val="16"/>
        </w:rPr>
        <w:t>. Physicians should claim only the credit commensurate with the exten</w:t>
      </w:r>
      <w:r w:rsidR="00C83154">
        <w:rPr>
          <w:rFonts w:asciiTheme="majorHAnsi" w:hAnsiTheme="majorHAnsi" w:cstheme="majorHAnsi"/>
          <w:sz w:val="16"/>
          <w:szCs w:val="16"/>
        </w:rPr>
        <w:t>t of their participation in the activity.</w: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Pr="003428F9" w:rsidP="00EB3966">
      <w:pPr>
        <w:pStyle w:val="NormalWeb"/>
        <w:spacing w:before="0" w:beforeAutospacing="0" w:after="0" w:afterAutospacing="0"/>
        <w:contextualSpacing/>
        <w:rPr>
          <w:rFonts w:asciiTheme="majorHAnsi" w:hAnsiTheme="majorHAnsi" w:cstheme="majorHAnsi"/>
          <w:sz w:val="16"/>
          <w:szCs w:val="16"/>
        </w:rPr>
      </w:pPr>
      <w:r w:rsidRPr="003428F9">
        <w:rPr>
          <w:rFonts w:asciiTheme="majorHAnsi" w:hAnsiTheme="majorHAnsi" w:cstheme="majorHAnsi"/>
          <w:sz w:val="16"/>
          <w:szCs w:val="16"/>
        </w:rPr>
        <w:fldChar w:fldCharType="end"/>
      </w:r>
      <w:r w:rsidRPr="00F754C3" w:rsidR="00F754C3">
        <w:rPr>
          <w:rFonts w:asciiTheme="majorHAnsi" w:hAnsiTheme="majorHAnsi" w:cstheme="majorHAnsi"/>
          <w:sz w:val="16"/>
          <w:szCs w:val="16"/>
        </w:rPr>
        <w:fldChar w:fldCharType="begin"/>
      </w:r>
      <w:r w:rsidRPr="00F754C3" w:rsid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sid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sidR="00F754C3">
        <w:rPr>
          <w:rFonts w:asciiTheme="majorHAnsi" w:hAnsiTheme="majorHAnsi" w:cstheme="majorHAnsi"/>
          <w:sz w:val="16"/>
          <w:szCs w:val="16"/>
        </w:rPr>
        <w:instrText xml:space="preserve">This activity is awarded </w:instrText>
      </w:r>
      <w:r w:rsidRPr="00F754C3" w:rsidR="00F754C3">
        <w:rPr>
          <w:rFonts w:asciiTheme="majorHAnsi" w:hAnsiTheme="majorHAnsi" w:cstheme="majorHAnsi"/>
          <w:sz w:val="16"/>
          <w:szCs w:val="16"/>
        </w:rPr>
        <w:instrText>1.00</w:instrText>
      </w:r>
      <w:r w:rsidR="00F8142C">
        <w:rPr>
          <w:rFonts w:asciiTheme="majorHAnsi" w:hAnsiTheme="majorHAnsi" w:cstheme="majorHAnsi"/>
          <w:sz w:val="16"/>
          <w:szCs w:val="16"/>
        </w:rPr>
        <w:instrText xml:space="preserve"> ANCC</w:instrText>
      </w:r>
      <w:r w:rsidRPr="00F754C3" w:rsid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379554409"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1.00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DB4085">
        <w:rPr>
          <w:rFonts w:asciiTheme="majorHAnsi" w:hAnsiTheme="majorHAnsi" w:cstheme="majorHAnsi"/>
          <w:noProof/>
          <w:sz w:val="16"/>
          <w:szCs w:val="16"/>
        </w:rPr>
        <w:drawing>
          <wp:anchor distT="0" distB="0" distL="0" distR="0" simplePos="0" relativeHeight="251664384"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870675285"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t xml:space="preserve">Ascension has been authorized by the American Academy of PAs (AAPA) to award AAPA Category 1 CME credit for activities planned in accordance with AAPA CME Criteria. This activity is designated for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AAPA Category 1 CME credits. PAs should only claim credit commensurate with the extent of their participation.</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5408"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A3DCE">
        <w:rPr>
          <w:rFonts w:asciiTheme="majorHAnsi" w:hAnsiTheme="majorHAnsi" w:cstheme="majorHAnsi"/>
          <w:noProof/>
          <w:sz w:val="16"/>
          <w:szCs w:val="16"/>
        </w:rPr>
        <w:drawing>
          <wp:anchor distT="0" distB="0" distL="27305" distR="27305" simplePos="0" relativeHeight="251666432"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47060568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t xml:space="preserve">This knowledge-based activity qualifies for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contact hours of continuing pharmacy education credit.</w:t>
      </w:r>
      <w:r w:rsidR="009A3DCE">
        <w:rPr>
          <w:rFonts w:asciiTheme="majorHAnsi" w:hAnsiTheme="majorHAnsi" w:cstheme="majorHAnsi"/>
          <w:sz w:val="16"/>
          <w:szCs w:val="16"/>
        </w:rPr>
        <w:t xml:space="preserve"> </w:t>
      </w:r>
      <w:r w:rsidRPr="00F754C3">
        <w:rPr>
          <w:rFonts w:asciiTheme="majorHAnsi" w:hAnsiTheme="majorHAnsi" w:cstheme="majorHAnsi"/>
          <w:sz w:val="16"/>
          <w:szCs w:val="16"/>
        </w:rPr>
        <w:t>Pharmacy CE credits will be submitted electronically to the NABP upon successful completion of the activity.</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2836AF">
        <w:rPr>
          <w:rFonts w:asciiTheme="majorHAnsi" w:hAnsiTheme="majorHAnsi" w:cstheme="majorHAnsi"/>
          <w:noProof/>
          <w:sz w:val="16"/>
          <w:szCs w:val="16"/>
        </w:rPr>
        <w:drawing>
          <wp:anchor distT="0" distB="0" distL="0" distR="0" simplePos="0" relativeHeight="251668480"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299493863"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continuing education credits.</w:t>
      </w:r>
    </w:p>
    <w:p w:rsidR="004914A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022247" w:rsidR="004914AA">
        <w:rPr>
          <w:rFonts w:asciiTheme="majorHAnsi" w:hAnsiTheme="majorHAnsi" w:cstheme="majorHAnsi"/>
          <w:sz w:val="16"/>
          <w:szCs w:val="16"/>
        </w:rPr>
        <w:fldChar w:fldCharType="begin"/>
      </w:r>
      <w:r w:rsidRPr="00022247" w:rsidR="004914AA">
        <w:rPr>
          <w:rFonts w:asciiTheme="majorHAnsi" w:hAnsiTheme="majorHAnsi" w:cstheme="majorHAnsi"/>
          <w:sz w:val="16"/>
          <w:szCs w:val="16"/>
        </w:rPr>
        <w:instrText xml:space="preserve"> IF </w:instrText>
      </w:r>
      <w:r w:rsidRPr="00022247" w:rsidR="004914AA">
        <w:rPr>
          <w:rFonts w:asciiTheme="majorHAnsi" w:hAnsiTheme="majorHAnsi" w:cstheme="majorHAnsi"/>
          <w:sz w:val="16"/>
          <w:szCs w:val="16"/>
        </w:rPr>
        <w:instrText>0.00</w:instrText>
      </w:r>
      <w:r w:rsidRPr="00022247" w:rsidR="004914AA">
        <w:rPr>
          <w:rFonts w:asciiTheme="majorHAnsi" w:hAnsiTheme="majorHAnsi" w:cstheme="majorHAnsi"/>
          <w:sz w:val="16"/>
          <w:szCs w:val="16"/>
        </w:rPr>
        <w:instrText xml:space="preserve"> &gt; 0 "</w:instrText>
      </w:r>
      <w:r w:rsidRPr="00022247" w:rsidR="004914AA">
        <w:rPr>
          <w:rFonts w:asciiTheme="majorHAnsi" w:hAnsiTheme="majorHAnsi" w:cstheme="majorHAnsi"/>
          <w:noProof/>
          <w:sz w:val="16"/>
          <w:szCs w:val="16"/>
        </w:rPr>
        <w:drawing>
          <wp:anchor distT="0" distB="0" distL="0" distR="27305" simplePos="0" relativeHeight="251671552"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sidR="004914AA">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72576"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Jamalyn Casey, PharmD, BCPPS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Hammond,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Josephine Jung,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Kearby,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Oberhart,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Sink, LCSW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Social Work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