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Neonatal Grand Rounds - Neonatal Thrombocytopenia</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March 30,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Neonatal Care practices continue to evolve and improve. Ongoing research and quality improvement initiatives in the neonatal care specialty and supporting sub-specialties require exploration and understanding for proper implementation into practice. This program will provide neonatal care providers current trends in care with supportive data, evidence-based practices, and early recognition of neonatal conditions that require consultation and intervention with sub specialists. This continuous quality improvement activity in the care of infants is one way to address the high infant mortality rates in the state of Indiana and nationally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1 Discuss the pathophysiology or physiologic impact of the neonatal condition/topic presented.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Identify care improvement strategies related to the neonatal condition/topic presented</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Explain the importance of early recognition for specialty consultation and involvement as needed for the neonatal condition/topic presented</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 xml:space="preserve">1 Discuss the pathophysiology or physiologic impact of the neonatal condition/topic presented.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Identify care improvement strategies related to the neonatal condition/topic presented</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Explain the importance of early recognition for specialty consultation and involvement as needed for the neonatal condition/topic presented</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 xml:space="preserve">1 Discuss the pathophysiology or physiologic impact of the neonatal condition/topic presented.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Identify care improvement strategies related to the neonatal condition/topic presented</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Explain the importance of early recognition for specialty consultation and involvement as needed for the neonatal condition/topic presented</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Neonatal</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70528"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473125492"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Enduring Material</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504173929"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Enduring Material</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196102479"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262391086"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186769936"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860975936"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Jamalyn Casey, PharmD, BCPPS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SWETA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Hammond,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Kearby,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Oberhart,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Sink,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