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C4CA5" w:rsidP="00EB3966">
      <w:pPr>
        <w:pStyle w:val="NormalWeb"/>
        <w:spacing w:before="0" w:beforeAutospacing="0" w:after="0" w:afterAutospacing="0"/>
        <w:contextualSpacing/>
        <w:rPr>
          <w:rFonts w:ascii="Cambria" w:hAnsi="Cambria" w:cstheme="majorHAnsi"/>
          <w:color w:val="223B82"/>
          <w:sz w:val="10"/>
          <w:szCs w:val="10"/>
        </w:rPr>
      </w:pPr>
      <w:r>
        <w:rPr>
          <w:noProof/>
        </w:rPr>
        <w:drawing>
          <wp:inline distT="0" distB="0" distL="0" distR="0">
            <wp:extent cx="2059200" cy="435665"/>
            <wp:effectExtent l="0" t="0" r="0" b="0"/>
            <wp:docPr id="5" name="image6.png"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png" descr="Logo&#10;&#10;Description automatically generated with medium confidence"/>
                    <pic:cNvPicPr preferRelativeResize="0"/>
                  </pic:nvPicPr>
                  <pic: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pic:blipFill>
                  <pic:spPr>
                    <a:xfrm>
                      <a:off x="0" y="0"/>
                      <a:ext cx="2087206" cy="441590"/>
                    </a:xfrm>
                    <a:prstGeom prst="rect">
                      <a:avLst/>
                    </a:prstGeom>
                    <a:ln/>
                  </pic:spPr>
                </pic:pic>
              </a:graphicData>
            </a:graphic>
          </wp:inline>
        </w:drawing>
      </w:r>
    </w:p>
    <w:p w:rsidR="00E51B46" w:rsidRPr="00FC4CA5" w:rsidP="00EB3966">
      <w:pPr>
        <w:pStyle w:val="NormalWeb"/>
        <w:spacing w:before="0" w:beforeAutospacing="0" w:after="0" w:afterAutospacing="0"/>
        <w:contextualSpacing/>
        <w:rPr>
          <w:rFonts w:ascii="Cambria" w:hAnsi="Cambria" w:cstheme="majorHAnsi"/>
          <w:color w:val="223B82"/>
          <w:sz w:val="10"/>
          <w:szCs w:val="10"/>
        </w:rPr>
      </w:pPr>
    </w:p>
    <w:p w:rsidR="00F83740" w:rsidP="00EB3966">
      <w:pPr>
        <w:pStyle w:val="NormalWeb"/>
        <w:spacing w:before="0" w:beforeAutospacing="0" w:after="0" w:afterAutospacing="0"/>
        <w:contextualSpacing/>
        <w:rPr>
          <w:rFonts w:ascii="Cambria" w:hAnsi="Cambria" w:cstheme="majorHAnsi"/>
          <w:color w:val="223B82"/>
          <w:sz w:val="40"/>
          <w:szCs w:val="40"/>
        </w:rPr>
      </w:pPr>
      <w:r w:rsidRPr="00F83740">
        <w:rPr>
          <w:rFonts w:ascii="Cambria" w:hAnsi="Cambria" w:cstheme="majorHAnsi"/>
          <w:color w:val="223B82"/>
          <w:sz w:val="40"/>
          <w:szCs w:val="40"/>
        </w:rPr>
        <w:t>Continuing Education/Continuing Medical Education (CE/CME)</w:t>
      </w:r>
    </w:p>
    <w:p w:rsidR="00F83740" w:rsidRPr="00F83740" w:rsidP="00EB3966">
      <w:pPr>
        <w:pStyle w:val="NormalWeb"/>
        <w:spacing w:before="0" w:beforeAutospacing="0" w:after="0" w:afterAutospacing="0"/>
        <w:contextualSpacing/>
        <w:rPr>
          <w:rFonts w:ascii="Cambria" w:hAnsi="Cambria" w:cstheme="majorHAnsi"/>
          <w:color w:val="223B82"/>
          <w:sz w:val="10"/>
          <w:szCs w:val="10"/>
        </w:rPr>
      </w:pPr>
    </w:p>
    <w:p w:rsidR="00256673" w:rsidRPr="0052325A" w:rsidP="00EB3966">
      <w:pPr>
        <w:pStyle w:val="NormalWeb"/>
        <w:spacing w:before="0" w:beforeAutospacing="0" w:after="0" w:afterAutospacing="0"/>
        <w:contextualSpacing/>
        <w:rPr>
          <w:rFonts w:ascii="Cambria" w:hAnsi="Cambria" w:cstheme="majorHAnsi"/>
          <w:color w:val="223B82"/>
          <w:sz w:val="44"/>
          <w:szCs w:val="44"/>
        </w:rPr>
      </w:pPr>
      <w:r>
        <w:rPr>
          <w:rFonts w:ascii="Cambria" w:hAnsi="Cambria" w:cstheme="majorHAnsi"/>
          <w:b/>
          <w:bCs/>
          <w:color w:val="223B82"/>
          <w:sz w:val="40"/>
          <w:szCs w:val="40"/>
        </w:rPr>
        <w:t>2022 AMG Primary Care Symposium</w:t>
      </w:r>
    </w:p>
    <w:p w:rsidR="0052325A" w:rsidRPr="005112C7" w:rsidP="00EB3966">
      <w:pPr>
        <w:pStyle w:val="NormalWeb"/>
        <w:spacing w:before="0" w:beforeAutospacing="0" w:after="0" w:afterAutospacing="0"/>
        <w:contextualSpacing/>
        <w:rPr>
          <w:rFonts w:ascii="Cambria" w:hAnsi="Cambria" w:cstheme="majorHAnsi"/>
          <w:color w:val="223B82"/>
          <w:sz w:val="10"/>
          <w:szCs w:val="10"/>
        </w:rPr>
      </w:pPr>
    </w:p>
    <w:p w:rsidR="0052325A" w:rsidRPr="00314025" w:rsidP="00EB3966">
      <w:pPr>
        <w:pStyle w:val="NormalWeb"/>
        <w:pBdr>
          <w:top w:val="single" w:sz="6" w:space="1" w:color="auto"/>
          <w:bottom w:val="single" w:sz="6" w:space="1" w:color="auto"/>
        </w:pBdr>
        <w:spacing w:before="0" w:beforeAutospacing="0" w:after="0" w:afterAutospacing="0"/>
        <w:contextualSpacing/>
        <w:rPr>
          <w:rFonts w:ascii="Arial" w:hAnsi="Arial" w:cs="Arial"/>
          <w:color w:val="000000" w:themeColor="text1"/>
          <w:sz w:val="28"/>
          <w:szCs w:val="28"/>
        </w:rPr>
      </w:pPr>
      <w:r w:rsidRPr="0052325A">
        <w:rPr>
          <w:rFonts w:ascii="Calibri Light" w:hAnsi="Calibri Light" w:cs="Calibri Light"/>
          <w:color w:val="223B82"/>
          <w:sz w:val="40"/>
          <w:szCs w:val="40"/>
        </w:rPr>
        <w:t>WHEN:</w:t>
      </w:r>
      <w:r w:rsidR="00CA5478">
        <w:rPr>
          <w:rFonts w:ascii="Calibri Light" w:hAnsi="Calibri Light" w:cs="Calibri Light"/>
          <w:color w:val="223B82"/>
          <w:sz w:val="28"/>
          <w:szCs w:val="28"/>
        </w:rPr>
        <w:tab/>
      </w:r>
      <w:r w:rsidR="00CA5478">
        <w:rPr>
          <w:rFonts w:ascii="Calibri Light" w:hAnsi="Calibri Light" w:cs="Calibri Light"/>
          <w:color w:val="223B82"/>
          <w:sz w:val="28"/>
          <w:szCs w:val="28"/>
        </w:rPr>
        <w:tab/>
      </w:r>
      <w:r w:rsidRPr="00314025" w:rsidR="00CA5478">
        <w:rPr>
          <w:rFonts w:ascii="Arial" w:hAnsi="Arial" w:cs="Arial"/>
          <w:color w:val="000000" w:themeColor="text1"/>
          <w:sz w:val="28"/>
          <w:szCs w:val="28"/>
        </w:rPr>
        <w:t>February 5, 2022 — 7:45 AM</w:t>
      </w:r>
    </w:p>
    <w:p w:rsidR="00BA0CEE" w:rsidRPr="005112C7" w:rsidP="00EB3966">
      <w:pPr>
        <w:pStyle w:val="NormalWeb"/>
        <w:pBdr>
          <w:top w:val="single" w:sz="6" w:space="1" w:color="auto"/>
          <w:bottom w:val="single" w:sz="6" w:space="1" w:color="auto"/>
        </w:pBdr>
        <w:spacing w:before="0" w:beforeAutospacing="0" w:after="0" w:afterAutospacing="0"/>
        <w:contextualSpacing/>
        <w:rPr>
          <w:rFonts w:ascii="Cambria" w:hAnsi="Cambria" w:cs="Calibri Light"/>
          <w:color w:val="000000" w:themeColor="text1"/>
          <w:sz w:val="10"/>
          <w:szCs w:val="10"/>
        </w:rPr>
      </w:pPr>
    </w:p>
    <w:p w:rsidR="00321E8C" w:rsidRPr="00E52130" w:rsidP="00EB3966">
      <w:pPr>
        <w:pStyle w:val="NormalWeb"/>
        <w:spacing w:before="0" w:beforeAutospacing="0" w:after="0" w:afterAutospacing="0"/>
        <w:contextualSpacing/>
        <w:rPr>
          <w:rFonts w:ascii="Arial" w:hAnsi="Arial" w:cs="Arial"/>
          <w:color w:val="000000" w:themeColor="text1"/>
          <w:sz w:val="10"/>
          <w:szCs w:val="10"/>
        </w:rPr>
      </w:pPr>
    </w:p>
    <w:p w:rsidR="00314025" w:rsidRPr="00314025" w:rsidP="00EB3966">
      <w:pPr>
        <w:pStyle w:val="NormalWeb"/>
        <w:spacing w:before="0" w:beforeAutospacing="0" w:after="0" w:afterAutospacing="0"/>
        <w:contextualSpacing/>
        <w:rPr>
          <w:rFonts w:ascii="Arial" w:hAnsi="Arial" w:cs="Arial"/>
          <w:b/>
          <w:bCs/>
          <w:color w:val="223B82"/>
          <w:sz w:val="22"/>
          <w:szCs w:val="22"/>
        </w:rPr>
        <w:sectPr w:rsidSect="00256673">
          <w:pgSz w:w="12240" w:h="15840"/>
          <w:pgMar w:top="432" w:right="432" w:bottom="432" w:left="432" w:header="720" w:footer="720" w:gutter="0"/>
          <w:cols w:space="720"/>
          <w:docGrid w:linePitch="360"/>
        </w:sectPr>
      </w:pPr>
    </w:p>
    <w:p w:rsidR="00314025" w:rsidRPr="00314025" w:rsidP="00EB3966">
      <w:pPr>
        <w:pStyle w:val="NormalWeb"/>
        <w:spacing w:before="0" w:beforeAutospacing="0" w:after="0" w:afterAutospacing="0"/>
        <w:contextualSpacing/>
        <w:rPr>
          <w:rFonts w:ascii="Arial" w:hAnsi="Arial" w:cs="Arial"/>
          <w:color w:val="223B82"/>
          <w:sz w:val="10"/>
          <w:szCs w:val="10"/>
        </w:rPr>
      </w:pPr>
    </w:p>
    <w:p w:rsidR="00321E8C" w:rsidRPr="00314025" w:rsidP="00EB3966">
      <w:pPr>
        <w:pStyle w:val="NormalWeb"/>
        <w:spacing w:before="0" w:beforeAutospacing="0" w:after="0" w:afterAutospacing="0"/>
        <w:contextualSpacing/>
        <w:rPr>
          <w:rFonts w:ascii="Arial" w:hAnsi="Arial" w:cs="Arial"/>
          <w:b/>
          <w:bCs/>
          <w:color w:val="223B82"/>
          <w:sz w:val="28"/>
          <w:szCs w:val="28"/>
        </w:rPr>
      </w:pPr>
      <w:r w:rsidRPr="00314025">
        <w:rPr>
          <w:rFonts w:ascii="Arial" w:hAnsi="Arial" w:cs="Arial"/>
          <w:b/>
          <w:bCs/>
          <w:color w:val="223B82"/>
          <w:sz w:val="28"/>
          <w:szCs w:val="28"/>
        </w:rPr>
        <w:t xml:space="preserve">Presentation </w:t>
      </w:r>
      <w:r w:rsidR="00F83740">
        <w:rPr>
          <w:rFonts w:ascii="Arial" w:hAnsi="Arial" w:cs="Arial"/>
          <w:b/>
          <w:bCs/>
          <w:color w:val="223B82"/>
          <w:sz w:val="28"/>
          <w:szCs w:val="28"/>
        </w:rPr>
        <w:t>p</w:t>
      </w:r>
      <w:r w:rsidRPr="00314025">
        <w:rPr>
          <w:rFonts w:ascii="Arial" w:hAnsi="Arial" w:cs="Arial"/>
          <w:b/>
          <w:bCs/>
          <w:color w:val="223B82"/>
          <w:sz w:val="28"/>
          <w:szCs w:val="28"/>
        </w:rPr>
        <w:t>urpose:</w:t>
      </w:r>
    </w:p>
    <w:p w:rsidR="00314025" w:rsidRPr="00314025" w:rsidP="00EB3966">
      <w:pPr>
        <w:pStyle w:val="NormalWeb"/>
        <w:spacing w:before="0" w:beforeAutospacing="0" w:after="0" w:afterAutospacing="0"/>
        <w:contextualSpacing/>
        <w:rPr>
          <w:rFonts w:ascii="Arial" w:hAnsi="Arial" w:cs="Arial"/>
          <w:sz w:val="10"/>
          <w:szCs w:val="10"/>
        </w:rPr>
      </w:pPr>
    </w:p>
    <w:p w:rsidR="00E52130" w:rsidRPr="00BB598D" w:rsidP="00EB3966">
      <w:pPr>
        <w:pStyle w:val="NormalWeb"/>
        <w:numPr>
          <w:ilvl w:val="0"/>
          <w:numId w:val="2"/>
        </w:numPr>
        <w:spacing w:before="0" w:beforeAutospacing="0" w:after="0" w:afterAutospacing="0"/>
        <w:ind w:left="360" w:hanging="180"/>
        <w:contextualSpacing/>
        <w:rPr>
          <w:rFonts w:ascii="Calibri Light" w:hAnsi="Calibri Light" w:cs="Calibri Light"/>
          <w:sz w:val="20"/>
          <w:szCs w:val="20"/>
        </w:rPr>
      </w:pPr>
      <w:r>
        <w:rPr>
          <w:rtl w:val="0"/>
        </w:rPr>
        <w:t>This virtual CME program offers multi-speaker content (varying clinical disciplines) designed to effect change in clinician competence, performance, or patient outcomes. It is expected that participating clinicians will report greater confidence in their approach to the clinic problems presented and/or describe how they will change their behavior and apply the newly acquired strategies to their practice (competence).</w:t>
      </w:r>
    </w:p>
    <w:p w:rsidR="00E52130" w:rsidRPr="00F77B98" w:rsidP="00EB3966">
      <w:pPr>
        <w:pStyle w:val="NormalWeb"/>
        <w:spacing w:before="0" w:beforeAutospacing="0" w:after="0" w:afterAutospacing="0"/>
        <w:contextualSpacing/>
        <w:rPr>
          <w:rFonts w:ascii="Arial" w:hAnsi="Arial" w:cs="Arial"/>
          <w:sz w:val="20"/>
          <w:szCs w:val="20"/>
        </w:rPr>
      </w:pPr>
    </w:p>
    <w:p w:rsidR="00E52130" w:rsidRPr="00E52130" w:rsidP="00EB3966">
      <w:pPr>
        <w:pStyle w:val="NormalWeb"/>
        <w:spacing w:before="0" w:beforeAutospacing="0" w:after="0" w:afterAutospacing="0"/>
        <w:contextualSpacing/>
        <w:rPr>
          <w:rFonts w:ascii="Arial" w:hAnsi="Arial" w:cs="Arial"/>
          <w:sz w:val="20"/>
          <w:szCs w:val="20"/>
        </w:rPr>
      </w:pPr>
      <w:r>
        <w:rPr>
          <w:rFonts w:ascii="Arial" w:hAnsi="Arial" w:cs="Arial"/>
          <w:b/>
          <w:bCs/>
          <w:color w:val="223B82"/>
          <w:sz w:val="28"/>
          <w:szCs w:val="28"/>
        </w:rPr>
        <w:t xml:space="preserve">Learning </w:t>
      </w:r>
      <w:r w:rsidR="00F83740">
        <w:rPr>
          <w:rFonts w:ascii="Arial" w:hAnsi="Arial" w:cs="Arial"/>
          <w:b/>
          <w:bCs/>
          <w:color w:val="223B82"/>
          <w:sz w:val="28"/>
          <w:szCs w:val="28"/>
        </w:rPr>
        <w:t>o</w:t>
      </w:r>
      <w:r>
        <w:rPr>
          <w:rFonts w:ascii="Arial" w:hAnsi="Arial" w:cs="Arial"/>
          <w:b/>
          <w:bCs/>
          <w:color w:val="223B82"/>
          <w:sz w:val="28"/>
          <w:szCs w:val="28"/>
        </w:rPr>
        <w:t>bjectives:</w:t>
      </w:r>
    </w:p>
    <w:p w:rsidR="00E52130" w:rsidRPr="00E52130" w:rsidP="00EB3966">
      <w:pPr>
        <w:pStyle w:val="NormalWeb"/>
        <w:spacing w:before="0" w:beforeAutospacing="0" w:after="0" w:afterAutospacing="0"/>
        <w:contextualSpacing/>
        <w:rPr>
          <w:rFonts w:ascii="Arial" w:hAnsi="Arial" w:cs="Arial"/>
          <w:sz w:val="10"/>
          <w:szCs w:val="10"/>
        </w:rPr>
      </w:pPr>
    </w:p>
    <w:p w:rsidR="00E51B46" w:rsidRPr="002836AF"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Use the Interprofessional Continuing Education (IPCE) platform in order to easily access additional CME programming.</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Understand the current state of our Indiana AMG performance as well as our national AMG performance, and have awareness of our strategy for continued improvement of quality health outcomes, patient experience, value and clinician experience.</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Identify recent advances in robotic surgery.</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Identify recent updates in infectious disease, specifically in regards to immunizations and COVID.</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Identify effective tactics to better precept medical learners.</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Apply skills to use personally for self-care.</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Identify cardiovascular and dyslipidemia treatment strategies.</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Understand current lung cancer screening guidelines.</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Utilize optimization tactics to use in documentation system for improved practice efficiency.</w:t>
      </w:r>
    </w:p>
    <w:p w:rsidR="00E51B46" w:rsidRPr="00BB598D" w:rsidP="00EB3966">
      <w:pPr>
        <w:pStyle w:val="NormalWeb"/>
        <w:spacing w:before="0" w:beforeAutospacing="0" w:after="0" w:afterAutospacing="0"/>
        <w:contextualSpacing/>
        <w:rPr>
          <w:rFonts w:ascii="Arial" w:hAnsi="Arial" w:cs="Arial"/>
          <w:sz w:val="20"/>
          <w:szCs w:val="20"/>
        </w:rPr>
      </w:pPr>
    </w:p>
    <w:p w:rsidR="00622659" w:rsidP="00622659">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Target audience:</w:t>
      </w:r>
    </w:p>
    <w:p w:rsidR="00BB598D" w:rsidP="00EB3966">
      <w:pPr>
        <w:pStyle w:val="NormalWeb"/>
        <w:spacing w:before="0" w:beforeAutospacing="0" w:after="0" w:afterAutospacing="0"/>
        <w:contextualSpacing/>
        <w:rPr>
          <w:rFonts w:ascii="Arial" w:hAnsi="Arial" w:cs="Arial"/>
          <w:color w:val="223B82"/>
          <w:sz w:val="10"/>
          <w:szCs w:val="10"/>
        </w:rPr>
      </w:pP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This activity is designed for the interdisciplinary audience including the following:</w:t>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Family Medicine</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0A6288"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Specialties: </w:instrText>
      </w:r>
      <w:r>
        <w:rPr>
          <w:rFonts w:asciiTheme="majorHAnsi" w:hAnsiTheme="majorHAnsi" w:cstheme="majorHAnsi"/>
          <w:sz w:val="20"/>
          <w:szCs w:val="20"/>
        </w:rPr>
        <w:instrText>Family Medicine</w:instrText>
      </w:r>
      <w:r>
        <w:rPr>
          <w:rFonts w:asciiTheme="majorHAnsi" w:hAnsiTheme="majorHAnsi" w:cstheme="majorHAnsi"/>
          <w:sz w:val="20"/>
          <w:szCs w:val="20"/>
        </w:rPr>
        <w:instrText xml:space="preserve">" "" </w:instrText>
      </w:r>
      <w:r>
        <w:rPr>
          <w:rFonts w:asciiTheme="majorHAnsi" w:hAnsiTheme="majorHAnsi" w:cstheme="majorHAnsi"/>
          <w:sz w:val="20"/>
          <w:szCs w:val="20"/>
        </w:rPr>
        <w:fldChar w:fldCharType="separate"/>
      </w: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 xml:space="preserve">Specialties: </w:t>
      </w:r>
      <w:r>
        <w:rPr>
          <w:rFonts w:asciiTheme="majorHAnsi" w:hAnsiTheme="majorHAnsi" w:cstheme="majorHAnsi"/>
          <w:sz w:val="20"/>
          <w:szCs w:val="20"/>
        </w:rPr>
        <w:t>Family Medicine</w:t>
      </w:r>
      <w:r>
        <w:rPr>
          <w:rFonts w:asciiTheme="majorHAnsi" w:hAnsiTheme="majorHAnsi" w:cstheme="majorHAnsi"/>
          <w:sz w:val="20"/>
          <w:szCs w:val="20"/>
        </w:rPr>
        <w:fldChar w:fldCharType="end"/>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Physician, Physician Assistant, Nurse</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0A6288"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Professions: </w:instrText>
      </w:r>
      <w:r>
        <w:rPr>
          <w:rFonts w:asciiTheme="majorHAnsi" w:hAnsiTheme="majorHAnsi" w:cstheme="majorHAnsi"/>
          <w:sz w:val="20"/>
          <w:szCs w:val="20"/>
        </w:rPr>
        <w:instrText>Physician, Physician Assistant, Nurse</w:instrText>
      </w:r>
      <w:r>
        <w:rPr>
          <w:rFonts w:asciiTheme="majorHAnsi" w:hAnsiTheme="majorHAnsi" w:cstheme="majorHAnsi"/>
          <w:sz w:val="20"/>
          <w:szCs w:val="20"/>
        </w:rPr>
        <w:instrText>" ""</w:instrText>
      </w:r>
      <w:r>
        <w:rPr>
          <w:rFonts w:asciiTheme="majorHAnsi" w:hAnsiTheme="majorHAnsi" w:cstheme="majorHAnsi"/>
          <w:sz w:val="20"/>
          <w:szCs w:val="20"/>
        </w:rPr>
        <w:fldChar w:fldCharType="separate"/>
      </w: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 xml:space="preserve">Professions: </w:t>
      </w:r>
      <w:r>
        <w:rPr>
          <w:rFonts w:asciiTheme="majorHAnsi" w:hAnsiTheme="majorHAnsi" w:cstheme="majorHAnsi"/>
          <w:sz w:val="20"/>
          <w:szCs w:val="20"/>
        </w:rPr>
        <w:t>Physician, Physician Assistant, Nurse</w:t>
      </w:r>
      <w:r>
        <w:rPr>
          <w:rFonts w:asciiTheme="majorHAnsi" w:hAnsiTheme="majorHAnsi" w:cstheme="majorHAnsi"/>
          <w:sz w:val="20"/>
          <w:szCs w:val="20"/>
        </w:rPr>
        <w:fldChar w:fldCharType="end"/>
      </w:r>
    </w:p>
    <w:p w:rsidR="00BA0CEE" w:rsidRPr="00BA0CEE" w:rsidP="00EB3966">
      <w:pPr>
        <w:pStyle w:val="NormalWeb"/>
        <w:spacing w:before="0" w:beforeAutospacing="0" w:after="0" w:afterAutospacing="0"/>
        <w:contextualSpacing/>
        <w:rPr>
          <w:rFonts w:ascii="Arial" w:hAnsi="Arial" w:cs="Arial"/>
          <w:sz w:val="10"/>
          <w:szCs w:val="10"/>
        </w:rPr>
      </w:pPr>
      <w:r w:rsidRPr="00E52130">
        <w:rPr>
          <w:rFonts w:ascii="Arial" w:hAnsi="Arial" w:cs="Arial"/>
          <w:b/>
          <w:bCs/>
          <w:sz w:val="20"/>
          <w:szCs w:val="20"/>
        </w:rPr>
        <w:br w:type="column"/>
      </w:r>
    </w:p>
    <w:p w:rsidR="00E51B46" w:rsidP="00EB3966">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Accreditation</w:t>
      </w:r>
    </w:p>
    <w:p w:rsidR="00E51B46" w:rsidP="00EB3966">
      <w:pPr>
        <w:pStyle w:val="NormalWeb"/>
        <w:spacing w:before="0" w:beforeAutospacing="0" w:after="0" w:afterAutospacing="0"/>
        <w:contextualSpacing/>
        <w:rPr>
          <w:rFonts w:asciiTheme="majorHAnsi" w:hAnsiTheme="majorHAnsi" w:cstheme="majorHAnsi"/>
          <w:color w:val="223B82"/>
          <w:sz w:val="10"/>
          <w:szCs w:val="10"/>
        </w:rPr>
      </w:pPr>
    </w:p>
    <w:p w:rsidR="006D6205" w:rsidRPr="006D6205" w:rsidP="00EB3966">
      <w:pPr>
        <w:pStyle w:val="NormalWeb"/>
        <w:spacing w:before="0" w:beforeAutospacing="0" w:after="0" w:afterAutospacing="0"/>
        <w:contextualSpacing/>
        <w:rPr>
          <w:rFonts w:asciiTheme="majorHAnsi" w:hAnsiTheme="majorHAnsi" w:cstheme="majorHAnsi"/>
          <w:color w:val="223B82"/>
          <w:sz w:val="16"/>
          <w:szCs w:val="16"/>
        </w:rPr>
      </w:pPr>
      <w:r w:rsidRPr="00E51B46">
        <w:rPr>
          <w:rFonts w:asciiTheme="majorHAnsi" w:hAnsiTheme="majorHAnsi" w:cstheme="majorHAnsi"/>
          <w:sz w:val="16"/>
          <w:szCs w:val="16"/>
        </w:rPr>
        <w:t>In support of improving patient care,</w: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IF </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 xml:space="preserve"> &lt;&gt; "" " this activity has been planned and implemented by Ascension and </w:instrTex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MERGEFIELD JointProviderName </w:instrText>
      </w:r>
      <w:r w:rsidR="00F03017">
        <w:rPr>
          <w:rFonts w:asciiTheme="majorHAnsi" w:hAnsiTheme="majorHAnsi" w:cstheme="majorHAnsi"/>
          <w:sz w:val="16"/>
          <w:szCs w:val="16"/>
        </w:rPr>
        <w:fldChar w:fldCharType="separate"/>
      </w:r>
      <w:r w:rsidR="000A6288">
        <w:rPr>
          <w:rFonts w:asciiTheme="majorHAnsi" w:hAnsiTheme="majorHAnsi" w:cstheme="majorHAnsi"/>
          <w:noProof/>
          <w:sz w:val="16"/>
          <w:szCs w:val="16"/>
        </w:rPr>
        <w:instrText>«JointProviderName»</w:instrText>
      </w:r>
      <w:r w:rsidR="00F03017">
        <w:rPr>
          <w:rFonts w:asciiTheme="majorHAnsi" w:hAnsiTheme="majorHAnsi" w:cstheme="majorHAnsi"/>
          <w:sz w:val="16"/>
          <w:szCs w:val="16"/>
        </w:rPr>
        <w:fldChar w:fldCharType="end"/>
      </w:r>
      <w:r w:rsidR="00F03017">
        <w:rPr>
          <w:rFonts w:asciiTheme="majorHAnsi" w:hAnsiTheme="majorHAnsi" w:cstheme="majorHAnsi"/>
          <w:sz w:val="16"/>
          <w:szCs w:val="16"/>
        </w:rPr>
        <w:instrText xml:space="preserve">." "" </w:instrText>
      </w:r>
      <w:r w:rsidR="00F03017">
        <w:rPr>
          <w:rFonts w:asciiTheme="majorHAnsi" w:hAnsiTheme="majorHAnsi" w:cstheme="majorHAnsi"/>
          <w:sz w:val="16"/>
          <w:szCs w:val="16"/>
        </w:rPr>
        <w:fldChar w:fldCharType="separate"/>
      </w:r>
      <w:r w:rsidR="00F03017">
        <w:rPr>
          <w:rFonts w:asciiTheme="majorHAnsi" w:hAnsiTheme="majorHAnsi" w:cstheme="majorHAnsi"/>
          <w:sz w:val="16"/>
          <w:szCs w:val="16"/>
        </w:rPr>
        <w:fldChar w:fldCharType="end"/>
      </w:r>
      <w:r w:rsidR="00F03017">
        <w:rPr>
          <w:rFonts w:asciiTheme="majorHAnsi" w:hAnsiTheme="majorHAnsi" w:cstheme="majorHAnsi"/>
          <w:sz w:val="16"/>
          <w:szCs w:val="16"/>
        </w:rPr>
        <w:t xml:space="preserve"> </w:t>
      </w:r>
      <w:r w:rsidRPr="00E51B46">
        <w:rPr>
          <w:rFonts w:asciiTheme="majorHAnsi" w:hAnsiTheme="majorHAnsi" w:cstheme="majorHAnsi"/>
          <w:sz w:val="16"/>
          <w:szCs w:val="16"/>
        </w:rPr>
        <w:t>Ascension</w:t>
      </w:r>
      <w:r>
        <w:rPr>
          <w:rFonts w:asciiTheme="majorHAnsi" w:hAnsiTheme="majorHAnsi" w:cstheme="majorHAnsi"/>
          <w:sz w:val="16"/>
          <w:szCs w:val="16"/>
        </w:rPr>
        <w:t xml:space="preserve"> is jointly accredited by the Accreditation Council for Continuing Medical Education (ACCME), the Accreditation Council for Pharmacy Education (ACPE), and the American Nurses Credentialing Center (ANCC), to provide continuing education for the healthcare team.</w:t>
      </w:r>
      <w:r>
        <w:rPr>
          <w:rFonts w:asciiTheme="majorHAnsi" w:hAnsiTheme="majorHAnsi" w:cstheme="majorHAnsi"/>
          <w:noProof/>
          <w:color w:val="223B82"/>
          <w:sz w:val="16"/>
          <w:szCs w:val="16"/>
        </w:rPr>
        <w:drawing>
          <wp:anchor distT="0" distB="0" distL="0" distR="0" simplePos="0" relativeHeight="251658240" behindDoc="1" locked="0" layoutInCell="1" allowOverlap="1">
            <wp:simplePos x="0" y="0"/>
            <wp:positionH relativeFrom="column">
              <wp:posOffset>2540</wp:posOffset>
            </wp:positionH>
            <wp:positionV relativeFrom="paragraph">
              <wp:posOffset>3175</wp:posOffset>
            </wp:positionV>
            <wp:extent cx="1014984" cy="694944"/>
            <wp:effectExtent l="0" t="0" r="1270" b="0"/>
            <wp:wrapSquare wrapText="bothSides"/>
            <wp:docPr id="10" name="Picture 10" descr="Jointly Accredited Provider TM&#10;Interprofessional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Jointly Accredited Provider TM&#10;Interprofessional Continuing Education"/>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1014984" cy="694944"/>
                    </a:xfrm>
                    <a:prstGeom prst="rect">
                      <a:avLst/>
                    </a:prstGeom>
                  </pic:spPr>
                </pic:pic>
              </a:graphicData>
            </a:graphic>
          </wp:anchor>
        </w:drawing>
      </w:r>
    </w:p>
    <w:p w:rsidR="00E51B46" w:rsidRPr="00E51B46" w:rsidP="00EB3966">
      <w:pPr>
        <w:pStyle w:val="NormalWeb"/>
        <w:spacing w:before="0" w:beforeAutospacing="0" w:after="0" w:afterAutospacing="0"/>
        <w:contextualSpacing/>
        <w:rPr>
          <w:rFonts w:asciiTheme="majorHAnsi" w:hAnsiTheme="majorHAnsi" w:cstheme="majorHAnsi"/>
          <w:color w:val="223B82"/>
          <w:sz w:val="10"/>
          <w:szCs w:val="10"/>
        </w:rPr>
      </w:pPr>
    </w:p>
    <w:p w:rsidR="00122D67" w:rsidRPr="00122D67" w:rsidP="00EB3966">
      <w:pPr>
        <w:pStyle w:val="NormalWeb"/>
        <w:spacing w:before="0" w:beforeAutospacing="0" w:after="0" w:afterAutospacing="0"/>
        <w:contextualSpacing/>
        <w:rPr>
          <w:rFonts w:ascii="Arial" w:hAnsi="Arial" w:cs="Arial"/>
          <w:color w:val="223B82"/>
          <w:sz w:val="20"/>
          <w:szCs w:val="20"/>
        </w:rPr>
      </w:pPr>
      <w:r>
        <w:rPr>
          <w:rFonts w:ascii="Arial" w:hAnsi="Arial" w:cs="Arial"/>
          <w:b/>
          <w:bCs/>
          <w:color w:val="223B82"/>
          <w:sz w:val="28"/>
          <w:szCs w:val="28"/>
        </w:rPr>
        <w:t>Credit designation</w:t>
      </w:r>
      <w:r w:rsidRPr="00314025">
        <w:rPr>
          <w:rFonts w:ascii="Arial" w:hAnsi="Arial" w:cs="Arial"/>
          <w:b/>
          <w:bCs/>
          <w:color w:val="223B82"/>
          <w:sz w:val="28"/>
          <w:szCs w:val="28"/>
        </w:rPr>
        <w:t>:</w:t>
      </w:r>
    </w:p>
    <w:p w:rsidR="00314025" w:rsidP="00EB3966">
      <w:pPr>
        <w:pStyle w:val="NormalWeb"/>
        <w:spacing w:before="0" w:beforeAutospacing="0" w:after="0" w:afterAutospacing="0"/>
        <w:contextualSpacing/>
        <w:rPr>
          <w:rFonts w:asciiTheme="majorHAnsi" w:hAnsiTheme="majorHAnsi" w:cstheme="majorHAnsi"/>
          <w:sz w:val="10"/>
          <w:szCs w:val="10"/>
        </w:rPr>
      </w:pPr>
    </w:p>
    <w:p w:rsidR="00092269"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begin"/>
      </w:r>
      <w:r>
        <w:rPr>
          <w:rFonts w:asciiTheme="majorHAnsi" w:hAnsiTheme="majorHAnsi" w:cstheme="majorHAnsi"/>
          <w:sz w:val="16"/>
          <w:szCs w:val="16"/>
        </w:rPr>
        <w:instrText xml:space="preserve"> IF </w:instrText>
      </w:r>
      <w:r>
        <w:rPr>
          <w:rFonts w:asciiTheme="majorHAnsi" w:hAnsiTheme="majorHAnsi" w:cstheme="majorHAnsi"/>
          <w:sz w:val="16"/>
          <w:szCs w:val="16"/>
        </w:rPr>
        <w:instrText>4.00</w:instrText>
      </w:r>
      <w:r>
        <w:rPr>
          <w:rFonts w:asciiTheme="majorHAnsi" w:hAnsiTheme="majorHAnsi" w:cstheme="majorHAnsi"/>
          <w:sz w:val="16"/>
          <w:szCs w:val="16"/>
        </w:rPr>
        <w:instrText xml:space="preserve"> &gt; 0 "</w:instrText>
      </w:r>
      <w:r>
        <w:rPr>
          <w:rFonts w:asciiTheme="majorHAnsi" w:hAnsiTheme="majorHAnsi" w:cstheme="majorHAnsi"/>
          <w:noProof/>
          <w:sz w:val="16"/>
          <w:szCs w:val="16"/>
        </w:rPr>
        <w:drawing>
          <wp:anchor distT="0" distB="0" distL="0" distR="0" simplePos="0" relativeHeight="251667456"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20"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instrText xml:space="preserve">This activity was planned by and for the healthcare team, and learners will receive </w:instrText>
      </w:r>
      <w:r>
        <w:rPr>
          <w:rFonts w:asciiTheme="majorHAnsi" w:hAnsiTheme="majorHAnsi" w:cstheme="majorHAnsi"/>
          <w:sz w:val="16"/>
          <w:szCs w:val="16"/>
        </w:rPr>
        <w:instrText>4.00</w:instrText>
      </w:r>
      <w:r>
        <w:rPr>
          <w:rFonts w:asciiTheme="majorHAnsi" w:hAnsiTheme="majorHAnsi" w:cstheme="majorHAnsi"/>
          <w:sz w:val="16"/>
          <w:szCs w:val="16"/>
        </w:rPr>
        <w:instrText xml:space="preserve"> IPCE credit(s) for learning and change.</w:instrTex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R="0094313A"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instrText xml:space="preserve">" "" </w:instrText>
      </w:r>
      <w:r>
        <w:rPr>
          <w:rFonts w:asciiTheme="majorHAnsi" w:hAnsiTheme="majorHAnsi" w:cstheme="majorHAnsi"/>
          <w:sz w:val="16"/>
          <w:szCs w:val="16"/>
        </w:rPr>
        <w:fldChar w:fldCharType="separate"/>
      </w:r>
      <w:r>
        <w:rPr>
          <w:rFonts w:asciiTheme="majorHAnsi" w:hAnsiTheme="majorHAnsi" w:cstheme="majorHAnsi"/>
          <w:noProof/>
          <w:sz w:val="16"/>
          <w:szCs w:val="16"/>
        </w:rPr>
        <w:drawing>
          <wp:anchor distT="0" distB="0" distL="0" distR="0" simplePos="0" relativeHeight="251668480"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559521187"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t xml:space="preserve">This activity was planned by and for the healthcare team, and learners will receive </w:t>
      </w:r>
      <w:r>
        <w:rPr>
          <w:rFonts w:asciiTheme="majorHAnsi" w:hAnsiTheme="majorHAnsi" w:cstheme="majorHAnsi"/>
          <w:sz w:val="16"/>
          <w:szCs w:val="16"/>
        </w:rPr>
        <w:t>4.00</w:t>
      </w:r>
      <w:r>
        <w:rPr>
          <w:rFonts w:asciiTheme="majorHAnsi" w:hAnsiTheme="majorHAnsi" w:cstheme="majorHAnsi"/>
          <w:sz w:val="16"/>
          <w:szCs w:val="16"/>
        </w:rPr>
        <w:t xml:space="preserve"> IPCE credit(s) for learning and change.</w: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end"/>
      </w:r>
      <w:r w:rsidRPr="003428F9" w:rsidR="003428F9">
        <w:rPr>
          <w:rFonts w:asciiTheme="majorHAnsi" w:hAnsiTheme="majorHAnsi" w:cstheme="majorHAnsi"/>
          <w:sz w:val="16"/>
          <w:szCs w:val="16"/>
        </w:rPr>
        <w:fldChar w:fldCharType="begin"/>
      </w:r>
      <w:r w:rsidRPr="003428F9" w:rsidR="003428F9">
        <w:rPr>
          <w:rFonts w:asciiTheme="majorHAnsi" w:hAnsiTheme="majorHAnsi" w:cstheme="majorHAnsi"/>
          <w:sz w:val="16"/>
          <w:szCs w:val="16"/>
        </w:rPr>
        <w:instrText xml:space="preserve"> </w:instrText>
      </w:r>
      <w:r w:rsidR="003428F9">
        <w:rPr>
          <w:rFonts w:asciiTheme="majorHAnsi" w:hAnsiTheme="majorHAnsi" w:cstheme="majorHAnsi"/>
          <w:sz w:val="16"/>
          <w:szCs w:val="16"/>
        </w:rPr>
        <w:instrText xml:space="preserve">IF </w:instrText>
      </w:r>
      <w:r w:rsidR="003428F9">
        <w:rPr>
          <w:rFonts w:asciiTheme="majorHAnsi" w:hAnsiTheme="majorHAnsi" w:cstheme="majorHAnsi"/>
          <w:sz w:val="16"/>
          <w:szCs w:val="16"/>
        </w:rPr>
        <w:instrText>4.00</w:instrText>
      </w:r>
      <w:r w:rsidR="003428F9">
        <w:rPr>
          <w:rFonts w:asciiTheme="majorHAnsi" w:hAnsiTheme="majorHAnsi" w:cstheme="majorHAnsi"/>
          <w:sz w:val="16"/>
          <w:szCs w:val="16"/>
        </w:rPr>
        <w:instrText xml:space="preserve"> &gt; 0 "</w:instrText>
      </w:r>
      <w:r w:rsidR="00C83154">
        <w:rPr>
          <w:rFonts w:asciiTheme="majorHAnsi" w:hAnsiTheme="majorHAnsi" w:cstheme="majorHAnsi"/>
          <w:noProof/>
          <w:sz w:val="16"/>
          <w:szCs w:val="16"/>
        </w:rPr>
        <w:drawing>
          <wp:anchor distT="0" distB="0" distL="0" distR="27305" simplePos="0" relativeHeight="251659264"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15"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instrText xml:space="preserve">Ascension designates this </w:instrText>
      </w:r>
      <w:r w:rsidR="003428F9">
        <w:rPr>
          <w:rFonts w:asciiTheme="majorHAnsi" w:hAnsiTheme="majorHAnsi" w:cstheme="majorHAnsi"/>
          <w:sz w:val="16"/>
          <w:szCs w:val="16"/>
        </w:rPr>
        <w:instrText>Live Activity</w:instrText>
      </w:r>
      <w:r w:rsidR="003428F9">
        <w:rPr>
          <w:rFonts w:asciiTheme="majorHAnsi" w:hAnsiTheme="majorHAnsi" w:cstheme="majorHAnsi"/>
          <w:sz w:val="16"/>
          <w:szCs w:val="16"/>
        </w:rPr>
        <w:instrText xml:space="preserve"> for a maximum of </w:instrText>
      </w:r>
      <w:r w:rsidR="003428F9">
        <w:rPr>
          <w:rFonts w:asciiTheme="majorHAnsi" w:hAnsiTheme="majorHAnsi" w:cstheme="majorHAnsi"/>
          <w:sz w:val="16"/>
          <w:szCs w:val="16"/>
        </w:rPr>
        <w:instrText>4.00</w:instrText>
      </w:r>
      <w:r w:rsidR="003428F9">
        <w:rPr>
          <w:rFonts w:asciiTheme="majorHAnsi" w:hAnsiTheme="majorHAnsi" w:cstheme="majorHAnsi"/>
          <w:sz w:val="16"/>
          <w:szCs w:val="16"/>
        </w:rPr>
        <w:instrText xml:space="preserve"> </w:instrText>
      </w:r>
      <w:r w:rsidR="003428F9">
        <w:rPr>
          <w:rFonts w:asciiTheme="majorHAnsi" w:hAnsiTheme="majorHAnsi" w:cstheme="majorHAnsi"/>
          <w:i/>
          <w:iCs/>
          <w:sz w:val="16"/>
          <w:szCs w:val="16"/>
        </w:rPr>
        <w:instrText>AMA PRA Category 1 Credit(s)</w:instrText>
      </w:r>
      <w:r w:rsidR="003428F9">
        <w:rPr>
          <w:rFonts w:ascii="Calibri Light" w:hAnsi="Calibri Light" w:cs="Calibri Light"/>
          <w:i/>
          <w:iCs/>
          <w:sz w:val="16"/>
          <w:szCs w:val="16"/>
        </w:rPr>
        <w:instrText>™</w:instrText>
      </w:r>
      <w:r w:rsidR="003428F9">
        <w:rPr>
          <w:rFonts w:asciiTheme="majorHAnsi" w:hAnsiTheme="majorHAnsi" w:cstheme="majorHAnsi"/>
          <w:sz w:val="16"/>
          <w:szCs w:val="16"/>
        </w:rPr>
        <w:instrText>. Physicians should claim only the credit commensurate with the exten</w:instrText>
      </w:r>
      <w:r w:rsidR="00C83154">
        <w:rPr>
          <w:rFonts w:asciiTheme="majorHAnsi" w:hAnsiTheme="majorHAnsi" w:cstheme="majorHAnsi"/>
          <w:sz w:val="16"/>
          <w:szCs w:val="16"/>
        </w:rPr>
        <w:instrText>t of their participation in the activity.</w:instrTex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00F754C3" w:rsidRPr="0094313A" w:rsidP="00EB3966">
      <w:pPr>
        <w:pStyle w:val="NormalWeb"/>
        <w:spacing w:before="0" w:beforeAutospacing="0" w:after="0" w:afterAutospacing="0"/>
        <w:contextualSpacing/>
        <w:rPr>
          <w:sz w:val="16"/>
          <w:szCs w:val="16"/>
        </w:rPr>
      </w:pPr>
      <w:r>
        <w:rPr>
          <w:rFonts w:asciiTheme="majorHAnsi" w:hAnsiTheme="majorHAnsi" w:cstheme="majorHAnsi"/>
          <w:sz w:val="16"/>
          <w:szCs w:val="16"/>
        </w:rPr>
        <w:instrText>" ""</w:instrText>
      </w:r>
      <w:r w:rsidRPr="003428F9">
        <w:rPr>
          <w:rFonts w:asciiTheme="majorHAnsi" w:hAnsiTheme="majorHAnsi" w:cstheme="majorHAnsi"/>
          <w:sz w:val="16"/>
          <w:szCs w:val="16"/>
        </w:rPr>
        <w:instrText xml:space="preserve"> </w:instrText>
      </w:r>
      <w:r w:rsidRPr="003428F9">
        <w:rPr>
          <w:rFonts w:asciiTheme="majorHAnsi" w:hAnsiTheme="majorHAnsi" w:cstheme="majorHAnsi"/>
          <w:sz w:val="16"/>
          <w:szCs w:val="16"/>
        </w:rPr>
        <w:fldChar w:fldCharType="separate"/>
      </w:r>
      <w:r w:rsidR="00C83154">
        <w:rPr>
          <w:rFonts w:asciiTheme="majorHAnsi" w:hAnsiTheme="majorHAnsi" w:cstheme="majorHAnsi"/>
          <w:noProof/>
          <w:sz w:val="16"/>
          <w:szCs w:val="16"/>
        </w:rPr>
        <w:drawing>
          <wp:anchor distT="0" distB="0" distL="0" distR="27305" simplePos="0" relativeHeight="251660288"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1889947479"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t xml:space="preserve">Ascension designates this </w:t>
      </w:r>
      <w:r w:rsidR="003428F9">
        <w:rPr>
          <w:rFonts w:asciiTheme="majorHAnsi" w:hAnsiTheme="majorHAnsi" w:cstheme="majorHAnsi"/>
          <w:sz w:val="16"/>
          <w:szCs w:val="16"/>
        </w:rPr>
        <w:t>Live Activity</w:t>
      </w:r>
      <w:r w:rsidR="003428F9">
        <w:rPr>
          <w:rFonts w:asciiTheme="majorHAnsi" w:hAnsiTheme="majorHAnsi" w:cstheme="majorHAnsi"/>
          <w:sz w:val="16"/>
          <w:szCs w:val="16"/>
        </w:rPr>
        <w:t xml:space="preserve"> for a maximum of </w:t>
      </w:r>
      <w:r w:rsidR="003428F9">
        <w:rPr>
          <w:rFonts w:asciiTheme="majorHAnsi" w:hAnsiTheme="majorHAnsi" w:cstheme="majorHAnsi"/>
          <w:sz w:val="16"/>
          <w:szCs w:val="16"/>
        </w:rPr>
        <w:t>4.00</w:t>
      </w:r>
      <w:r w:rsidR="003428F9">
        <w:rPr>
          <w:rFonts w:asciiTheme="majorHAnsi" w:hAnsiTheme="majorHAnsi" w:cstheme="majorHAnsi"/>
          <w:sz w:val="16"/>
          <w:szCs w:val="16"/>
        </w:rPr>
        <w:t xml:space="preserve"> </w:t>
      </w:r>
      <w:r w:rsidR="003428F9">
        <w:rPr>
          <w:rFonts w:asciiTheme="majorHAnsi" w:hAnsiTheme="majorHAnsi" w:cstheme="majorHAnsi"/>
          <w:i/>
          <w:iCs/>
          <w:sz w:val="16"/>
          <w:szCs w:val="16"/>
        </w:rPr>
        <w:t>AMA PRA Category 1 Credit(s)</w:t>
      </w:r>
      <w:r w:rsidR="003428F9">
        <w:rPr>
          <w:rFonts w:ascii="Calibri Light" w:hAnsi="Calibri Light" w:cs="Calibri Light"/>
          <w:i/>
          <w:iCs/>
          <w:sz w:val="16"/>
          <w:szCs w:val="16"/>
        </w:rPr>
        <w:t>™</w:t>
      </w:r>
      <w:r w:rsidR="003428F9">
        <w:rPr>
          <w:rFonts w:asciiTheme="majorHAnsi" w:hAnsiTheme="majorHAnsi" w:cstheme="majorHAnsi"/>
          <w:sz w:val="16"/>
          <w:szCs w:val="16"/>
        </w:rPr>
        <w:t>. Physicians should claim only the credit commensurate with the exten</w:t>
      </w:r>
      <w:r w:rsidR="00C83154">
        <w:rPr>
          <w:rFonts w:asciiTheme="majorHAnsi" w:hAnsiTheme="majorHAnsi" w:cstheme="majorHAnsi"/>
          <w:sz w:val="16"/>
          <w:szCs w:val="16"/>
        </w:rPr>
        <w:t>t of their participation in the activity.</w: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Pr="003428F9" w:rsidP="00EB3966">
      <w:pPr>
        <w:pStyle w:val="NormalWeb"/>
        <w:spacing w:before="0" w:beforeAutospacing="0" w:after="0" w:afterAutospacing="0"/>
        <w:contextualSpacing/>
        <w:rPr>
          <w:rFonts w:asciiTheme="majorHAnsi" w:hAnsiTheme="majorHAnsi" w:cstheme="majorHAnsi"/>
          <w:sz w:val="16"/>
          <w:szCs w:val="16"/>
        </w:rPr>
      </w:pPr>
      <w:r w:rsidRPr="003428F9">
        <w:rPr>
          <w:rFonts w:asciiTheme="majorHAnsi" w:hAnsiTheme="majorHAnsi" w:cstheme="majorHAnsi"/>
          <w:sz w:val="16"/>
          <w:szCs w:val="16"/>
        </w:rPr>
        <w:fldChar w:fldCharType="end"/>
      </w:r>
      <w:r w:rsidRPr="00F754C3" w:rsidR="00F754C3">
        <w:rPr>
          <w:rFonts w:asciiTheme="majorHAnsi" w:hAnsiTheme="majorHAnsi" w:cstheme="majorHAnsi"/>
          <w:sz w:val="16"/>
          <w:szCs w:val="16"/>
        </w:rPr>
        <w:fldChar w:fldCharType="begin"/>
      </w:r>
      <w:r w:rsidRPr="00F754C3" w:rsidR="00F754C3">
        <w:rPr>
          <w:rFonts w:asciiTheme="majorHAnsi" w:hAnsiTheme="majorHAnsi" w:cstheme="majorHAnsi"/>
          <w:sz w:val="16"/>
          <w:szCs w:val="16"/>
        </w:rPr>
        <w:instrText xml:space="preserve"> IF </w:instrText>
      </w:r>
      <w:r w:rsidR="000A6288">
        <w:rPr>
          <w:rFonts w:asciiTheme="majorHAnsi" w:hAnsiTheme="majorHAnsi" w:cstheme="majorHAnsi"/>
          <w:noProof/>
          <w:sz w:val="16"/>
          <w:szCs w:val="16"/>
        </w:rPr>
        <w:instrText>4.00</w:instrText>
      </w:r>
      <w:r w:rsidRPr="00F754C3" w:rsidR="00F754C3">
        <w:rPr>
          <w:rFonts w:asciiTheme="majorHAnsi" w:hAnsiTheme="majorHAnsi" w:cstheme="majorHAnsi"/>
          <w:sz w:val="16"/>
          <w:szCs w:val="16"/>
        </w:rPr>
        <w:instrText xml:space="preserve"> &gt; 0 "</w:instrText>
      </w:r>
      <w:r w:rsidR="0094313A">
        <w:rPr>
          <w:rFonts w:asciiTheme="majorHAnsi" w:hAnsiTheme="majorHAnsi" w:cstheme="majorHAnsi"/>
          <w:noProof/>
          <w:sz w:val="16"/>
          <w:szCs w:val="16"/>
        </w:rPr>
        <w:drawing>
          <wp:anchor distT="0" distB="0" distL="0" distR="0" simplePos="0" relativeHeight="251661312"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16"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sidR="00F754C3">
        <w:rPr>
          <w:rFonts w:asciiTheme="majorHAnsi" w:hAnsiTheme="majorHAnsi" w:cstheme="majorHAnsi"/>
          <w:sz w:val="16"/>
          <w:szCs w:val="16"/>
        </w:rPr>
        <w:instrText xml:space="preserve">This activity is awarded </w:instrText>
      </w:r>
      <w:r w:rsidRPr="00F754C3" w:rsidR="00F754C3">
        <w:rPr>
          <w:rFonts w:asciiTheme="majorHAnsi" w:hAnsiTheme="majorHAnsi" w:cstheme="majorHAnsi"/>
          <w:sz w:val="16"/>
          <w:szCs w:val="16"/>
        </w:rPr>
        <w:instrText>4.00</w:instrText>
      </w:r>
      <w:r w:rsidR="00F8142C">
        <w:rPr>
          <w:rFonts w:asciiTheme="majorHAnsi" w:hAnsiTheme="majorHAnsi" w:cstheme="majorHAnsi"/>
          <w:sz w:val="16"/>
          <w:szCs w:val="16"/>
        </w:rPr>
        <w:instrText xml:space="preserve"> ANCC</w:instrText>
      </w:r>
      <w:r w:rsidRPr="00F754C3" w:rsidR="00F754C3">
        <w:rPr>
          <w:rFonts w:asciiTheme="majorHAnsi" w:hAnsiTheme="majorHAnsi" w:cstheme="majorHAnsi"/>
          <w:sz w:val="16"/>
          <w:szCs w:val="16"/>
        </w:rPr>
        <w:instrText xml:space="preserve"> contact hour</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s</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 (based on 60 minutes per contact hour)</w:instrTex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94313A">
        <w:rPr>
          <w:rFonts w:asciiTheme="majorHAnsi" w:hAnsiTheme="majorHAnsi" w:cstheme="majorHAnsi"/>
          <w:noProof/>
          <w:sz w:val="16"/>
          <w:szCs w:val="16"/>
        </w:rPr>
        <w:drawing>
          <wp:anchor distT="0" distB="0" distL="0" distR="0" simplePos="0" relativeHeight="251662336"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201130131"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Pr>
          <w:rFonts w:asciiTheme="majorHAnsi" w:hAnsiTheme="majorHAnsi" w:cstheme="majorHAnsi"/>
          <w:sz w:val="16"/>
          <w:szCs w:val="16"/>
        </w:rPr>
        <w:t xml:space="preserve">This activity is awarded </w:t>
      </w:r>
      <w:r w:rsidRPr="00F754C3">
        <w:rPr>
          <w:rFonts w:asciiTheme="majorHAnsi" w:hAnsiTheme="majorHAnsi" w:cstheme="majorHAnsi"/>
          <w:sz w:val="16"/>
          <w:szCs w:val="16"/>
        </w:rPr>
        <w:t>4.00</w:t>
      </w:r>
      <w:r w:rsidR="00F8142C">
        <w:rPr>
          <w:rFonts w:asciiTheme="majorHAnsi" w:hAnsiTheme="majorHAnsi" w:cstheme="majorHAnsi"/>
          <w:sz w:val="16"/>
          <w:szCs w:val="16"/>
        </w:rPr>
        <w:t xml:space="preserve"> ANCC</w:t>
      </w:r>
      <w:r w:rsidRPr="00F754C3">
        <w:rPr>
          <w:rFonts w:asciiTheme="majorHAnsi" w:hAnsiTheme="majorHAnsi" w:cstheme="majorHAnsi"/>
          <w:sz w:val="16"/>
          <w:szCs w:val="16"/>
        </w:rPr>
        <w:t xml:space="preserve"> contact hour</w:t>
      </w:r>
      <w:r w:rsidR="0094313A">
        <w:rPr>
          <w:rFonts w:asciiTheme="majorHAnsi" w:hAnsiTheme="majorHAnsi" w:cstheme="majorHAnsi"/>
          <w:sz w:val="16"/>
          <w:szCs w:val="16"/>
        </w:rPr>
        <w:t>(</w:t>
      </w:r>
      <w:r w:rsidRPr="00F754C3">
        <w:rPr>
          <w:rFonts w:asciiTheme="majorHAnsi" w:hAnsiTheme="majorHAnsi" w:cstheme="majorHAnsi"/>
          <w:sz w:val="16"/>
          <w:szCs w:val="16"/>
        </w:rPr>
        <w:t>s</w:t>
      </w:r>
      <w:r w:rsidR="0094313A">
        <w:rPr>
          <w:rFonts w:asciiTheme="majorHAnsi" w:hAnsiTheme="majorHAnsi" w:cstheme="majorHAnsi"/>
          <w:sz w:val="16"/>
          <w:szCs w:val="16"/>
        </w:rPr>
        <w:t>)</w:t>
      </w:r>
      <w:r w:rsidRPr="00F754C3">
        <w:rPr>
          <w:rFonts w:asciiTheme="majorHAnsi" w:hAnsiTheme="majorHAnsi" w:cstheme="majorHAnsi"/>
          <w:sz w:val="16"/>
          <w:szCs w:val="16"/>
        </w:rPr>
        <w:t>. (based on 60 minutes per contact hour)</w: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0A6288">
        <w:rPr>
          <w:rFonts w:asciiTheme="majorHAnsi" w:hAnsiTheme="majorHAnsi" w:cstheme="majorHAnsi"/>
          <w:noProof/>
          <w:sz w:val="16"/>
          <w:szCs w:val="16"/>
        </w:rPr>
        <w:instrText>4.00</w:instrText>
      </w:r>
      <w:r w:rsidRPr="00F754C3">
        <w:rPr>
          <w:rFonts w:asciiTheme="majorHAnsi" w:hAnsiTheme="majorHAnsi" w:cstheme="majorHAnsi"/>
          <w:sz w:val="16"/>
          <w:szCs w:val="16"/>
        </w:rPr>
        <w:instrText xml:space="preserve"> &gt; 0 "</w:instrText>
      </w:r>
      <w:r w:rsidR="00DB4085">
        <w:rPr>
          <w:rFonts w:asciiTheme="majorHAnsi" w:hAnsiTheme="majorHAnsi" w:cstheme="majorHAnsi"/>
          <w:noProof/>
          <w:sz w:val="16"/>
          <w:szCs w:val="16"/>
        </w:rPr>
        <w:drawing>
          <wp:anchor distT="0" distB="0" distL="0" distR="0" simplePos="0" relativeHeight="251663360" behindDoc="0" locked="1" layoutInCell="1" allowOverlap="1">
            <wp:simplePos x="0" y="0"/>
            <wp:positionH relativeFrom="column">
              <wp:posOffset>9525</wp:posOffset>
            </wp:positionH>
            <wp:positionV relativeFrom="paragraph">
              <wp:posOffset>27305</wp:posOffset>
            </wp:positionV>
            <wp:extent cx="914400" cy="447675"/>
            <wp:effectExtent l="0" t="0" r="0" b="0"/>
            <wp:wrapSquare wrapText="bothSides"/>
            <wp:docPr id="17" name="Picture 17" descr="A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APA"/>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29476" b="33040"/>
                    <a:stretch/>
                  </pic:blipFill>
                  <pic:spPr bwMode="auto">
                    <a:xfrm>
                      <a:off x="0" y="0"/>
                      <a:ext cx="914400" cy="447675"/>
                    </a:xfrm>
                    <a:prstGeom prst="rect">
                      <a:avLst/>
                    </a:prstGeom>
                    <a:ln>
                      <a:noFill/>
                    </a:ln>
                    <a:extLst>
                      <a:ext uri="{53640926-AAD7-44D8-BBD7-CCE9431645EC}">
                        <a14:shadowObscured xmlns:a14="http://schemas.microsoft.com/office/drawing/2010/main"/>
                      </a:ext>
                    </a:extLst>
                  </pic:spPr>
                </pic:pic>
              </a:graphicData>
            </a:graphic>
          </wp:anchor>
        </w:drawing>
      </w:r>
      <w:r w:rsidRPr="00F754C3">
        <w:rPr>
          <w:rFonts w:asciiTheme="majorHAnsi" w:hAnsiTheme="majorHAnsi" w:cstheme="majorHAnsi"/>
          <w:sz w:val="16"/>
          <w:szCs w:val="16"/>
        </w:rPr>
        <w:instrText xml:space="preserve">Ascension has been authorized by the American Academy of PAs (AAPA) to award AAPA Category 1 CME credit for activities planned in accordance with AAPA CME Criteria. This activity is designated for </w:instrText>
      </w:r>
      <w:r w:rsidRPr="00F754C3">
        <w:rPr>
          <w:rFonts w:asciiTheme="majorHAnsi" w:hAnsiTheme="majorHAnsi" w:cstheme="majorHAnsi"/>
          <w:sz w:val="16"/>
          <w:szCs w:val="16"/>
        </w:rPr>
        <w:instrText>4.00</w:instrText>
      </w:r>
      <w:r w:rsidRPr="00F754C3">
        <w:rPr>
          <w:rFonts w:asciiTheme="majorHAnsi" w:hAnsiTheme="majorHAnsi" w:cstheme="majorHAnsi"/>
          <w:sz w:val="16"/>
          <w:szCs w:val="16"/>
        </w:rPr>
        <w:instrText xml:space="preserve"> AAPA Category 1 CME credits. PAs should only claim credit commensurate with the extent of their participation.</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DB4085">
        <w:rPr>
          <w:rFonts w:asciiTheme="majorHAnsi" w:hAnsiTheme="majorHAnsi" w:cstheme="majorHAnsi"/>
          <w:noProof/>
          <w:sz w:val="16"/>
          <w:szCs w:val="16"/>
        </w:rPr>
        <w:drawing>
          <wp:anchor distT="0" distB="0" distL="0" distR="0" simplePos="0" relativeHeight="251664384" behindDoc="0" locked="1" layoutInCell="1" allowOverlap="1">
            <wp:simplePos x="0" y="0"/>
            <wp:positionH relativeFrom="column">
              <wp:posOffset>9525</wp:posOffset>
            </wp:positionH>
            <wp:positionV relativeFrom="paragraph">
              <wp:posOffset>27305</wp:posOffset>
            </wp:positionV>
            <wp:extent cx="914400" cy="447675"/>
            <wp:effectExtent l="0" t="0" r="0" b="0"/>
            <wp:wrapSquare wrapText="bothSides"/>
            <wp:docPr id="1538731672" name="Picture 17" descr="A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APA"/>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29476" b="33040"/>
                    <a:stretch/>
                  </pic:blipFill>
                  <pic:spPr bwMode="auto">
                    <a:xfrm>
                      <a:off x="0" y="0"/>
                      <a:ext cx="914400" cy="447675"/>
                    </a:xfrm>
                    <a:prstGeom prst="rect">
                      <a:avLst/>
                    </a:prstGeom>
                    <a:ln>
                      <a:noFill/>
                    </a:ln>
                    <a:extLst>
                      <a:ext uri="{53640926-AAD7-44D8-BBD7-CCE9431645EC}">
                        <a14:shadowObscured xmlns:a14="http://schemas.microsoft.com/office/drawing/2010/main"/>
                      </a:ext>
                    </a:extLst>
                  </pic:spPr>
                </pic:pic>
              </a:graphicData>
            </a:graphic>
          </wp:anchor>
        </w:drawing>
      </w:r>
      <w:r w:rsidRPr="00F754C3">
        <w:rPr>
          <w:rFonts w:asciiTheme="majorHAnsi" w:hAnsiTheme="majorHAnsi" w:cstheme="majorHAnsi"/>
          <w:sz w:val="16"/>
          <w:szCs w:val="16"/>
        </w:rPr>
        <w:t xml:space="preserve">Ascension has been authorized by the American Academy of PAs (AAPA) to award AAPA Category 1 CME credit for activities planned in accordance with AAPA CME Criteria. This activity is designated for </w:t>
      </w:r>
      <w:r w:rsidRPr="00F754C3">
        <w:rPr>
          <w:rFonts w:asciiTheme="majorHAnsi" w:hAnsiTheme="majorHAnsi" w:cstheme="majorHAnsi"/>
          <w:sz w:val="16"/>
          <w:szCs w:val="16"/>
        </w:rPr>
        <w:t>4.00</w:t>
      </w:r>
      <w:r w:rsidRPr="00F754C3">
        <w:rPr>
          <w:rFonts w:asciiTheme="majorHAnsi" w:hAnsiTheme="majorHAnsi" w:cstheme="majorHAnsi"/>
          <w:sz w:val="16"/>
          <w:szCs w:val="16"/>
        </w:rPr>
        <w:t xml:space="preserve"> AAPA Category 1 CME credits. PAs should only claim credit commensurate with the extent of their participation.</w: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0A6288">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9A3DCE">
        <w:rPr>
          <w:rFonts w:asciiTheme="majorHAnsi" w:hAnsiTheme="majorHAnsi" w:cstheme="majorHAnsi"/>
          <w:noProof/>
          <w:sz w:val="16"/>
          <w:szCs w:val="16"/>
        </w:rPr>
        <w:drawing>
          <wp:anchor distT="0" distB="0" distL="27305" distR="27305" simplePos="0" relativeHeight="251665408" behindDoc="0" locked="1" layoutInCell="1" allowOverlap="1">
            <wp:simplePos x="0" y="0"/>
            <wp:positionH relativeFrom="column">
              <wp:posOffset>17145</wp:posOffset>
            </wp:positionH>
            <wp:positionV relativeFrom="paragraph">
              <wp:posOffset>19685</wp:posOffset>
            </wp:positionV>
            <wp:extent cx="347345" cy="328930"/>
            <wp:effectExtent l="0" t="0" r="0" b="1270"/>
            <wp:wrapSquare wrapText="bothSides"/>
            <wp:docPr id="18"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instrText xml:space="preserve">This knowledge-based activity qualifies for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ACPEHoursMax \</w:instrText>
      </w:r>
      <w:r w:rsidR="009A3DCE">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«ACPEHoursMax»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contact hours of continuing pharmacy education credit.</w:instrText>
      </w:r>
      <w:r w:rsidR="009A3DCE">
        <w:rPr>
          <w:rFonts w:asciiTheme="majorHAnsi" w:hAnsiTheme="majorHAnsi" w:cstheme="majorHAnsi"/>
          <w:sz w:val="16"/>
          <w:szCs w:val="16"/>
        </w:rPr>
        <w:instrText xml:space="preserve"> </w:instrText>
      </w:r>
      <w:r w:rsidRPr="00F754C3">
        <w:rPr>
          <w:rFonts w:asciiTheme="majorHAnsi" w:hAnsiTheme="majorHAnsi" w:cstheme="majorHAnsi"/>
          <w:sz w:val="16"/>
          <w:szCs w:val="16"/>
        </w:rPr>
        <w:instrText>Pharmacy CE credits will be submitted electronically to the NABP upon successful completion of the activity.</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4914AA"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0A6288">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2836AF">
        <w:rPr>
          <w:rFonts w:asciiTheme="majorHAnsi" w:hAnsiTheme="majorHAnsi" w:cstheme="majorHAnsi"/>
          <w:noProof/>
          <w:sz w:val="16"/>
          <w:szCs w:val="16"/>
        </w:rPr>
        <w:drawing>
          <wp:anchor distT="0" distB="0" distL="0" distR="0" simplePos="0" relativeHeight="251666432" behindDoc="0" locked="1" layoutInCell="1" allowOverlap="1">
            <wp:simplePos x="0" y="0"/>
            <wp:positionH relativeFrom="column">
              <wp:posOffset>2540</wp:posOffset>
            </wp:positionH>
            <wp:positionV relativeFrom="paragraph">
              <wp:posOffset>21590</wp:posOffset>
            </wp:positionV>
            <wp:extent cx="1206500" cy="457200"/>
            <wp:effectExtent l="0" t="0" r="0" b="0"/>
            <wp:wrapSquare wrapText="bothSides"/>
            <wp:docPr id="19" name="Picture 1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SWB&#10;ACE&#10;approved continuing education"/>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206500" cy="457200"/>
                    </a:xfrm>
                    <a:prstGeom prst="rect">
                      <a:avLst/>
                    </a:prstGeom>
                  </pic:spPr>
                </pic:pic>
              </a:graphicData>
            </a:graphic>
          </wp:anchor>
        </w:drawing>
      </w:r>
      <w:r w:rsidRPr="00F754C3">
        <w:rPr>
          <w:rFonts w:asciiTheme="majorHAnsi" w:hAnsiTheme="majorHAnsi" w:cstheme="majorHAnsi"/>
          <w:sz w:val="16"/>
          <w:szCs w:val="16"/>
        </w:rPr>
        <w:instrText xml:space="preserve">As a Jointly Accredited Organization, Ascension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Ascension maintains responsibility for this course.  Social workers completing this course receive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ASWBHoursMax \</w:instrText>
      </w:r>
      <w:r w:rsidR="002836AF">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«ASWBHoursMax»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continuing education credits.</w:instrText>
      </w:r>
    </w:p>
    <w:p w:rsidR="004914AA" w:rsidP="00EB3966">
      <w:pPr>
        <w:pStyle w:val="NormalWeb"/>
        <w:spacing w:before="0" w:beforeAutospacing="0" w:after="0" w:afterAutospacing="0"/>
        <w:contextualSpacing/>
        <w:rPr>
          <w:rFonts w:asciiTheme="majorHAnsi" w:hAnsiTheme="majorHAnsi" w:cstheme="majorHAnsi"/>
          <w:sz w:val="10"/>
          <w:szCs w:val="10"/>
        </w:rPr>
      </w:pPr>
    </w:p>
    <w:p w:rsidR="004914AA"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Pr>
          <w:rFonts w:asciiTheme="majorHAnsi" w:hAnsiTheme="majorHAnsi" w:cstheme="majorHAnsi"/>
          <w:sz w:val="16"/>
          <w:szCs w:val="16"/>
        </w:rPr>
        <w:fldChar w:fldCharType="begin"/>
      </w:r>
      <w:r>
        <w:rPr>
          <w:rFonts w:asciiTheme="majorHAnsi" w:hAnsiTheme="majorHAnsi" w:cstheme="majorHAnsi"/>
          <w:sz w:val="16"/>
          <w:szCs w:val="16"/>
        </w:rPr>
        <w:instrText xml:space="preserve"> IF </w:instrText>
      </w:r>
      <w:r>
        <w:rPr>
          <w:rFonts w:asciiTheme="majorHAnsi" w:hAnsiTheme="majorHAnsi" w:cstheme="majorHAnsi"/>
          <w:sz w:val="16"/>
          <w:szCs w:val="16"/>
        </w:rPr>
        <w:instrText>0.00</w:instrText>
      </w:r>
      <w:r>
        <w:rPr>
          <w:rFonts w:asciiTheme="majorHAnsi" w:hAnsiTheme="majorHAnsi" w:cstheme="majorHAnsi"/>
          <w:sz w:val="16"/>
          <w:szCs w:val="16"/>
        </w:rPr>
        <w:instrText xml:space="preserve"> &gt; 0 "</w:instrText>
      </w:r>
      <w:r>
        <w:rPr>
          <w:rFonts w:asciiTheme="majorHAnsi" w:hAnsiTheme="majorHAnsi" w:cstheme="majorHAnsi"/>
          <w:noProof/>
          <w:sz w:val="16"/>
          <w:szCs w:val="16"/>
        </w:rPr>
        <w:drawing>
          <wp:anchor distT="0" distB="0" distL="0" distR="27305" simplePos="0" relativeHeight="251669504" behindDoc="0" locked="1" layoutInCell="1" allowOverlap="1">
            <wp:simplePos x="0" y="0"/>
            <wp:positionH relativeFrom="column">
              <wp:posOffset>3810</wp:posOffset>
            </wp:positionH>
            <wp:positionV relativeFrom="paragraph">
              <wp:posOffset>26035</wp:posOffset>
            </wp:positionV>
            <wp:extent cx="1097280" cy="457200"/>
            <wp:effectExtent l="0" t="0" r="0" b="0"/>
            <wp:wrapSquare wrapText="bothSides"/>
            <wp:docPr id="1" name="Picture 1" descr="American Psychological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merican Psychological Association"/>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1097280" cy="457200"/>
                    </a:xfrm>
                    <a:prstGeom prst="rect">
                      <a:avLst/>
                    </a:prstGeom>
                  </pic:spPr>
                </pic:pic>
              </a:graphicData>
            </a:graphic>
          </wp:anchor>
        </w:drawing>
      </w:r>
      <w:r>
        <w:rPr>
          <w:rFonts w:asciiTheme="majorHAnsi" w:hAnsiTheme="majorHAnsi" w:cstheme="majorHAnsi"/>
          <w:sz w:val="16"/>
          <w:szCs w:val="16"/>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p>
    <w:p w:rsidR="004914AA" w:rsidRPr="004914AA" w:rsidP="00EB3966">
      <w:pPr>
        <w:pStyle w:val="NormalWeb"/>
        <w:spacing w:before="0" w:beforeAutospacing="0" w:after="0" w:afterAutospacing="0"/>
        <w:contextualSpacing/>
        <w:rPr>
          <w:rFonts w:asciiTheme="majorHAnsi" w:hAnsiTheme="majorHAnsi" w:cstheme="majorHAnsi"/>
          <w:sz w:val="10"/>
          <w:szCs w:val="10"/>
        </w:rPr>
      </w:pPr>
    </w:p>
    <w:p w:rsidR="004914AA"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instrText xml:space="preserve">" "" </w:instrText>
      </w:r>
      <w:r>
        <w:rPr>
          <w:rFonts w:asciiTheme="majorHAnsi" w:hAnsiTheme="majorHAnsi" w:cstheme="majorHAnsi"/>
          <w:sz w:val="16"/>
          <w:szCs w:val="16"/>
        </w:rPr>
        <w:fldChar w:fldCharType="separate"/>
      </w:r>
      <w:r>
        <w:rPr>
          <w:rFonts w:asciiTheme="majorHAnsi" w:hAnsiTheme="majorHAnsi" w:cstheme="majorHAnsi"/>
          <w:sz w:val="16"/>
          <w:szCs w:val="16"/>
        </w:rPr>
        <w:fldChar w:fldCharType="end"/>
      </w:r>
    </w:p>
    <w:p w:rsidR="002836AF" w:rsidRPr="00DB4085" w:rsidP="00EB3966">
      <w:pPr>
        <w:pStyle w:val="NormalWeb"/>
        <w:spacing w:before="0" w:beforeAutospacing="0" w:after="0" w:afterAutospacing="0"/>
        <w:contextualSpacing/>
        <w:rPr>
          <w:rFonts w:asciiTheme="majorHAnsi" w:hAnsiTheme="majorHAnsi" w:cstheme="majorHAnsi"/>
          <w:b/>
          <w:bCs/>
          <w:sz w:val="16"/>
          <w:szCs w:val="16"/>
        </w:rPr>
        <w:sectPr w:rsidSect="00122D67">
          <w:type w:val="continuous"/>
          <w:pgSz w:w="12240" w:h="15840"/>
          <w:pgMar w:top="432" w:right="432" w:bottom="432" w:left="432" w:header="720" w:footer="720" w:gutter="0"/>
          <w:cols w:num="2" w:sep="1" w:space="432" w:equalWidth="0">
            <w:col w:w="7227" w:space="432"/>
            <w:col w:w="3717"/>
          </w:cols>
          <w:docGrid w:linePitch="360"/>
        </w:sectPr>
      </w:pPr>
    </w:p>
    <w:p w:rsid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Faculty/Course Director/Planners:</w:t>
      </w:r>
    </w:p>
    <w:p w:rsidR="000B7BB6" w:rsidRPr="008D3EEC" w:rsidP="00EB3966">
      <w:pPr>
        <w:pStyle w:val="NormalWeb"/>
        <w:spacing w:before="0" w:beforeAutospacing="0" w:after="0" w:afterAutospacing="0"/>
        <w:contextualSpacing/>
        <w:rPr>
          <w:rFonts w:ascii="Arial" w:hAnsi="Arial" w:cs="Arial"/>
          <w:color w:val="223B82"/>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Ascension has selected all faculty participating in this activity. It is the policy of Ascension that all CE/CME planning committees, faculty, authors, editors, and staff disclose relationships with commercial interests upon nomination or invitation of participation. Disclosure documents are reviewed for potential conflicts of interest and if relevant, they are resolved prior to confirmation of participation. Only those participants who have no conflict of interest or who agreed to an identified resolution process prior to their participation were involved in this activity.</w:t>
      </w:r>
    </w:p>
    <w:p w:rsidR="008D3EEC" w:rsidRPr="008D3EEC"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Conflict of Interest: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In accordance with the ACCME Standards for Commercial Support, it is the policy of Ascension to ensure balance, independence, objectivity and scientific rigor in all CE/CME activities.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Full disclosure of conflicts and conflict resolution will be made in writing via handout materials or syllabus.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86"/>
        <w:gridCol w:w="3386"/>
        <w:gridCol w:w="451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commercial interest/Nature of relationship</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Stanley,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- 05/15/2021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Christopher Belcher, MD,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Bureau-Sanofi S.A.|Speakers Bureau-Merck (Any division) - 01/12/2022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Victor Chavez,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- 01/07/2022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Clara D Hinojosa, 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- 01/05/2022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James Trippi, MD, FACC,FNLA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Honoraria-Amgen, Inc.|Honoraria-Regeneron Pharmaceuticals, Inc. - 01/08/2022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Curt Ward, MD, FAAFP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- 01/04/2022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Baligh Yehia,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- 01/18/2022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Anthony Zappia,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- 01/10/2022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Stacey Wyatt,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- 01/04/2022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Mike T Emmons, DO, ABFM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Physician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- 01/05/2022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Valerie Chambon, RN, BSN, MSM, MSM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- 01/06/2022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Tamara Jo Pore,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- 01/10/2022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Chelsea Dugle,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- 09/28/2021</w:t>
            </w:r>
          </w:p>
        </w:tc>
      </w:tr>
    </w:tbl>
    <w:p w:rsidR="008D3EEC" w:rsidRPr="00BB598D">
      <w:pPr>
        <w:bidi w:val="0"/>
        <w:spacing w:after="280" w:afterAutospacing="1"/>
        <w:rPr>
          <w:rFonts w:asciiTheme="majorHAnsi" w:hAnsiTheme="majorHAnsi" w:cstheme="majorHAnsi"/>
          <w:sz w:val="20"/>
          <w:szCs w:val="2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Commercial Interest: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F754C3"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IF </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 xml:space="preserve"> = "" "No commercial interest was received for this CE/CME activity." "</w:instrText>
      </w: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MERGEFIELD CommercialSupport </w:instrText>
      </w:r>
      <w:r w:rsidRPr="00BB598D">
        <w:rPr>
          <w:rFonts w:asciiTheme="majorHAnsi" w:hAnsiTheme="majorHAnsi" w:cstheme="majorHAnsi"/>
          <w:sz w:val="20"/>
          <w:szCs w:val="20"/>
        </w:rPr>
        <w:fldChar w:fldCharType="separate"/>
      </w:r>
      <w:r w:rsidR="000A6288">
        <w:rPr>
          <w:rFonts w:asciiTheme="majorHAnsi" w:hAnsiTheme="majorHAnsi" w:cstheme="majorHAnsi"/>
          <w:noProof/>
          <w:sz w:val="20"/>
          <w:szCs w:val="20"/>
        </w:rPr>
        <w:instrText>«CommercialSupport»</w:instrText>
      </w:r>
      <w:r w:rsidRPr="00BB598D">
        <w:rPr>
          <w:rFonts w:asciiTheme="majorHAnsi" w:hAnsiTheme="majorHAnsi" w:cstheme="majorHAnsi"/>
          <w:sz w:val="20"/>
          <w:szCs w:val="20"/>
        </w:rPr>
        <w:fldChar w:fldCharType="end"/>
      </w:r>
      <w:r w:rsidRPr="00BB598D">
        <w:rPr>
          <w:rFonts w:asciiTheme="majorHAnsi" w:hAnsiTheme="majorHAnsi" w:cstheme="majorHAnsi"/>
          <w:sz w:val="20"/>
          <w:szCs w:val="20"/>
        </w:rPr>
        <w:instrText xml:space="preserve">" </w:instrText>
      </w:r>
      <w:r w:rsidRPr="00BB598D">
        <w:rPr>
          <w:rFonts w:asciiTheme="majorHAnsi" w:hAnsiTheme="majorHAnsi" w:cstheme="majorHAnsi"/>
          <w:sz w:val="20"/>
          <w:szCs w:val="20"/>
        </w:rPr>
        <w:fldChar w:fldCharType="separate"/>
      </w:r>
      <w:r w:rsidRPr="00BB598D">
        <w:rPr>
          <w:rFonts w:asciiTheme="majorHAnsi" w:hAnsiTheme="majorHAnsi" w:cstheme="majorHAnsi"/>
          <w:sz w:val="20"/>
          <w:szCs w:val="20"/>
        </w:rPr>
        <w:t>No commercial interest was received for this CE/CME activity.</w:t>
      </w:r>
      <w:r w:rsidRPr="00BB598D">
        <w:rPr>
          <w:rFonts w:asciiTheme="majorHAnsi" w:hAnsiTheme="majorHAnsi" w:cstheme="majorHAnsi"/>
          <w:sz w:val="20"/>
          <w:szCs w:val="20"/>
        </w:rPr>
        <w:fldChar w:fldCharType="end"/>
      </w:r>
    </w:p>
    <w:sectPr w:rsidSect="008D3EEC">
      <w:pgSz w:w="12240" w:h="15840"/>
      <w:pgMar w:top="432" w:right="432" w:bottom="432" w:left="432" w:header="720" w:footer="720" w:gutter="0"/>
      <w:cols w:sep="1"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D46196"/>
    <w:multiLevelType w:val="hybridMultilevel"/>
    <w:tmpl w:val="02A84A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7AAA0F52"/>
    <w:multiLevelType w:val="hybridMultilevel"/>
    <w:tmpl w:val="DCF405B0"/>
    <w:lvl w:ilvl="0">
      <w:start w:val="1"/>
      <w:numFmt w:val="bullet"/>
      <w:lvlText w:val=""/>
      <w:lvlJc w:val="left"/>
      <w:pPr>
        <w:ind w:left="720" w:hanging="360"/>
      </w:pPr>
      <w:rPr>
        <w:rFonts w:ascii="Symbol" w:hAnsi="Symbol" w:hint="default"/>
        <w:color w:val="0071C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25A"/>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22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image" Target="media/image4.png" /><Relationship Id="rId8" Type="http://schemas.openxmlformats.org/officeDocument/2006/relationships/image" Target="media/image5.jpe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Tyler Browne</cp:lastModifiedBy>
  <cp:revision>3</cp:revision>
  <dcterms:created xsi:type="dcterms:W3CDTF">2022-01-05T19:36:00Z</dcterms:created>
  <dcterms:modified xsi:type="dcterms:W3CDTF">2022-01-05T19:41:00Z</dcterms:modified>
</cp:coreProperties>
</file>