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Encephalopathy Provider Education</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July 21, 2022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The intent of the activity is to assist providers to "bridge the gap" between what the provider is evaluating, monitoring, and treating during the encounter 9hospital admission) and the coding language which is required for quality and accurate reimbursement. The session will focus on Encephalopathy: Clinical Documentation strategies and challenges.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Have understanding of clinical documentation integrity and overview.</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Develop key clinical documentation strategies for altered mental status related to encephalopathy.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3 participate in case studies, diagnosis's and documentation examples. </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122176051"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53857762"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440893653"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Kari A Bogusz, BSN, RN, BSN, CCDS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Ellen Chang, BSN, Hospital Administrator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Althea Jackson,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