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Mass Transfusion Protocol</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November 12, 2022 — 12:01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headerReference w:type="even" r:id="rId5"/>
          <w:headerReference w:type="default" r:id="rId6"/>
          <w:footerReference w:type="even" r:id="rId7"/>
          <w:footerReference w:type="default" r:id="rId8"/>
          <w:headerReference w:type="first" r:id="rId9"/>
          <w:footerReference w:type="first" r:id="rId10"/>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This course is intended for the Intensive Care Nurse or Emergency Department Nurse that will be managing the mass transfusion resuscitation of a patient. The course describes the quantifiers that a patient must meet for mass transfusion therapy, delineates the responsibilities for the MTP coordinator, describes the process for mass transfusion resuscitation, and demonstrates the required documentation for blood products given during resuscitation of the mass transfusion patient.</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Critical Care Medicine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FD6352"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Critical Care Medicine</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Critical Care Medicine</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Assistant, Nurse,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FD6352"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Assistant, Nurse,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Assistant, Nurse,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FD6352">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69504"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00287AAA">
        <w:rPr>
          <w:rFonts w:asciiTheme="majorHAnsi" w:hAnsiTheme="majorHAnsi" w:cstheme="majorHAnsi"/>
          <w:sz w:val="16"/>
          <w:szCs w:val="16"/>
        </w:rPr>
        <w:instrText>The Ascension Genesys Hospital</w:instrText>
      </w:r>
      <w:r w:rsidRPr="00022247" w:rsidR="00022247">
        <w:rPr>
          <w:rFonts w:asciiTheme="majorHAnsi" w:hAnsiTheme="majorHAnsi" w:cstheme="majorHAnsi"/>
          <w:sz w:val="16"/>
          <w:szCs w:val="16"/>
        </w:rPr>
        <w:instrText xml:space="preserve">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fldChar w:fldCharType="begin"/>
      </w:r>
      <w:r>
        <w:rPr>
          <w:rFonts w:asciiTheme="majorHAnsi" w:hAnsiTheme="majorHAnsi" w:cstheme="majorHAnsi"/>
          <w:sz w:val="16"/>
          <w:szCs w:val="16"/>
        </w:rPr>
        <w:instrText xml:space="preserve"> MERGEFIELD ICPEHoursMax \# 0.00#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0.00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ActivityFormat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AMAHoursMax \# 0.00#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Pr="003428F9">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0288"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instrText xml:space="preserve">This activity is awarded </w:instrText>
      </w:r>
      <w:r w:rsidRP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247035343"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6">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023339314"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6">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7"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8"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1.00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7456"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9"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8739F0"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sidR="004914AA">
        <w:rPr>
          <w:rFonts w:asciiTheme="majorHAnsi" w:hAnsiTheme="majorHAnsi" w:cstheme="majorHAnsi"/>
          <w:noProof/>
          <w:sz w:val="16"/>
          <w:szCs w:val="16"/>
        </w:rPr>
        <w:drawing>
          <wp:anchor distT="0" distB="0" distL="0" distR="27305" simplePos="0" relativeHeight="251668480"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858717518"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9"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t>Continuing Education (CE) credits for psychologists are provided through the co-sponsorship of the American Psychological Association (APA) Office of Continuing Education in Psychology (CEP). The APA CEP Office maintains responsibility for the content of the programs.</w: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Pr="00022247" w:rsidP="00B73875">
      <w:pPr>
        <w:contextualSpacing/>
        <w:rPr>
          <w:rFonts w:asciiTheme="majorHAnsi" w:hAnsiTheme="majorHAnsi" w:cstheme="majorHAnsi"/>
          <w:sz w:val="16"/>
          <w:szCs w:val="16"/>
        </w:rPr>
      </w:pP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w:instrText>
      </w:r>
      <w:r w:rsidR="007F116F">
        <w:rPr>
          <w:rFonts w:eastAsia="Cambria" w:asciiTheme="majorHAnsi" w:hAnsiTheme="majorHAnsi" w:cstheme="majorHAnsi"/>
          <w:sz w:val="16"/>
          <w:szCs w:val="16"/>
        </w:rPr>
        <w:instrText>The Ascension Genesys Hospital</w:instrText>
      </w:r>
      <w:r w:rsidRPr="00022247" w:rsidR="00022247">
        <w:rPr>
          <w:rFonts w:eastAsia="Cambria" w:asciiTheme="majorHAnsi" w:hAnsiTheme="majorHAnsi" w:cstheme="majorHAnsi"/>
          <w:sz w:val="16"/>
          <w:szCs w:val="16"/>
        </w:rPr>
        <w:instrText xml:space="preserve">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A Credit(s) and will report CME and specialty credits commensurate with the extent of the physician’s participation in this activity.</w:instrText>
      </w:r>
    </w:p>
    <w:p w:rsidR="008739F0" w:rsidP="00B73875">
      <w:pPr>
        <w:contextualSpacing/>
        <w:rPr>
          <w:rFonts w:eastAsia="Cambria"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eastAsia="Cambria" w:asciiTheme="majorHAnsi" w:hAnsiTheme="majorHAnsi" w:cstheme="majorHAnsi"/>
          <w:sz w:val="16"/>
          <w:szCs w:val="16"/>
        </w:rPr>
        <w:instrText xml:space="preserve">" "" </w:instrText>
      </w:r>
      <w:r w:rsidRPr="00022247">
        <w:rPr>
          <w:rFonts w:eastAsia="Cambria" w:asciiTheme="majorHAnsi" w:hAnsiTheme="majorHAnsi" w:cstheme="majorHAnsi"/>
          <w:sz w:val="16"/>
          <w:szCs w:val="16"/>
        </w:rPr>
        <w:fldChar w:fldCharType="separate"/>
      </w:r>
      <w:r w:rsidRPr="00022247">
        <w:rPr>
          <w:rFonts w:eastAsia="Cambria" w:asciiTheme="majorHAnsi" w:hAnsiTheme="majorHAnsi" w:cstheme="majorHAnsi"/>
          <w:sz w:val="16"/>
          <w:szCs w:val="16"/>
        </w:rPr>
        <w:fldChar w:fldCharType="end"/>
      </w:r>
      <w:r w:rsidR="008739F0">
        <w:rPr>
          <w:rFonts w:eastAsia="Cambria" w:asciiTheme="majorHAnsi" w:hAnsiTheme="majorHAnsi" w:cstheme="majorHAnsi"/>
          <w:sz w:val="16"/>
          <w:szCs w:val="16"/>
        </w:rPr>
        <w:fldChar w:fldCharType="begin"/>
      </w:r>
      <w:r w:rsidR="008739F0">
        <w:rPr>
          <w:rFonts w:eastAsia="Cambria" w:asciiTheme="majorHAnsi" w:hAnsiTheme="majorHAnsi" w:cstheme="majorHAnsi"/>
          <w:sz w:val="16"/>
          <w:szCs w:val="16"/>
        </w:rPr>
        <w:instrText xml:space="preserve"> IF </w:instrText>
      </w:r>
      <w:r w:rsidR="008739F0">
        <w:rPr>
          <w:rFonts w:eastAsia="Cambria" w:asciiTheme="majorHAnsi" w:hAnsiTheme="majorHAnsi" w:cstheme="majorHAnsi"/>
          <w:sz w:val="16"/>
          <w:szCs w:val="16"/>
        </w:rPr>
        <w:instrText>0.00</w:instrText>
      </w:r>
      <w:r w:rsidR="008739F0">
        <w:rPr>
          <w:rFonts w:eastAsia="Cambria" w:asciiTheme="majorHAnsi" w:hAnsiTheme="majorHAnsi" w:cstheme="majorHAnsi"/>
          <w:sz w:val="16"/>
          <w:szCs w:val="16"/>
        </w:rPr>
        <w:instrText xml:space="preserve"> &gt; 0 "</w:instrText>
      </w:r>
      <w:r w:rsidR="00FD6352">
        <w:rPr>
          <w:rFonts w:eastAsia="Cambria" w:asciiTheme="majorHAnsi" w:hAnsiTheme="majorHAnsi" w:cstheme="majorHAnsi"/>
          <w:sz w:val="16"/>
          <w:szCs w:val="16"/>
        </w:rPr>
        <w:instrText xml:space="preserve">This course has been designated for </w:instrText>
      </w:r>
      <w:r w:rsidR="00FD6352">
        <w:rPr>
          <w:rFonts w:eastAsia="Cambria" w:asciiTheme="majorHAnsi" w:hAnsiTheme="majorHAnsi" w:cstheme="majorHAnsi"/>
          <w:sz w:val="16"/>
          <w:szCs w:val="16"/>
        </w:rPr>
        <w:fldChar w:fldCharType="begin"/>
      </w:r>
      <w:r w:rsidR="00FD6352">
        <w:rPr>
          <w:rFonts w:eastAsia="Cambria" w:asciiTheme="majorHAnsi" w:hAnsiTheme="majorHAnsi" w:cstheme="majorHAnsi"/>
          <w:sz w:val="16"/>
          <w:szCs w:val="16"/>
        </w:rPr>
        <w:instrText xml:space="preserve"> MERGEFIELD EthicsHoursMax \# 0.00# </w:instrText>
      </w:r>
      <w:r w:rsidR="00FD6352">
        <w:rPr>
          <w:rFonts w:eastAsia="Cambria" w:asciiTheme="majorHAnsi" w:hAnsiTheme="majorHAnsi" w:cstheme="majorHAnsi"/>
          <w:sz w:val="16"/>
          <w:szCs w:val="16"/>
        </w:rPr>
        <w:fldChar w:fldCharType="separate"/>
      </w:r>
      <w:r w:rsidR="00FD6352">
        <w:rPr>
          <w:rFonts w:eastAsia="Cambria" w:asciiTheme="majorHAnsi" w:hAnsiTheme="majorHAnsi" w:cstheme="majorHAnsi"/>
          <w:sz w:val="16"/>
          <w:szCs w:val="16"/>
        </w:rPr>
        <w:fldChar w:fldCharType="end"/>
      </w:r>
      <w:r w:rsidR="00FD6352">
        <w:rPr>
          <w:rFonts w:eastAsia="Cambria" w:asciiTheme="majorHAnsi" w:hAnsiTheme="majorHAnsi" w:cstheme="majorHAnsi"/>
          <w:sz w:val="16"/>
          <w:szCs w:val="16"/>
        </w:rPr>
        <w:instrText xml:space="preserve"> credit(s) of education in medical ethics and/or professional responsibility.</w:instrText>
      </w:r>
      <w:r w:rsidR="008739F0">
        <w:rPr>
          <w:rFonts w:eastAsia="Cambria" w:asciiTheme="majorHAnsi" w:hAnsiTheme="majorHAnsi" w:cstheme="majorHAnsi"/>
          <w:sz w:val="16"/>
          <w:szCs w:val="16"/>
        </w:rPr>
        <w:instrText xml:space="preserve">" "" </w:instrText>
      </w:r>
      <w:r w:rsidR="008739F0">
        <w:rPr>
          <w:rFonts w:eastAsia="Cambria" w:asciiTheme="majorHAnsi" w:hAnsiTheme="majorHAnsi" w:cstheme="majorHAnsi"/>
          <w:sz w:val="16"/>
          <w:szCs w:val="16"/>
        </w:rPr>
        <w:fldChar w:fldCharType="separate"/>
      </w:r>
      <w:r w:rsidR="008739F0">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Kimberly Buckley,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Latonya Mason-Wilson, DNP, NE-BC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Brandi Blevins, PA-C, DMSc,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B Davis, AAS, Manager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- 07/22/2022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FD6352">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 w:type="paragraph" w:styleId="Header">
    <w:name w:val="header"/>
    <w:basedOn w:val="Normal"/>
    <w:link w:val="HeaderChar"/>
    <w:uiPriority w:val="99"/>
    <w:unhideWhenUsed/>
    <w:rsid w:val="00287AAA"/>
    <w:pPr>
      <w:tabs>
        <w:tab w:val="center" w:pos="4680"/>
        <w:tab w:val="right" w:pos="9360"/>
      </w:tabs>
    </w:pPr>
  </w:style>
  <w:style w:type="character" w:customStyle="1" w:styleId="HeaderChar">
    <w:name w:val="Header Char"/>
    <w:basedOn w:val="DefaultParagraphFont"/>
    <w:link w:val="Header"/>
    <w:uiPriority w:val="99"/>
    <w:rsid w:val="00287AAA"/>
  </w:style>
  <w:style w:type="paragraph" w:styleId="Footer">
    <w:name w:val="footer"/>
    <w:basedOn w:val="Normal"/>
    <w:link w:val="FooterChar"/>
    <w:uiPriority w:val="99"/>
    <w:unhideWhenUsed/>
    <w:rsid w:val="00287AAA"/>
    <w:pPr>
      <w:tabs>
        <w:tab w:val="center" w:pos="4680"/>
        <w:tab w:val="right" w:pos="9360"/>
      </w:tabs>
    </w:pPr>
  </w:style>
  <w:style w:type="character" w:customStyle="1" w:styleId="FooterChar">
    <w:name w:val="Footer Char"/>
    <w:basedOn w:val="DefaultParagraphFont"/>
    <w:link w:val="Footer"/>
    <w:uiPriority w:val="99"/>
    <w:rsid w:val="0028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jpeg" /><Relationship Id="rId14" Type="http://schemas.openxmlformats.org/officeDocument/2006/relationships/image" Target="media/image5.png" /><Relationship Id="rId15" Type="http://schemas.openxmlformats.org/officeDocument/2006/relationships/image" Target="media/image6.jpe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Browne, Tyler</cp:lastModifiedBy>
  <cp:revision>2</cp:revision>
  <dcterms:created xsi:type="dcterms:W3CDTF">2023-04-21T14:49:00Z</dcterms:created>
  <dcterms:modified xsi:type="dcterms:W3CDTF">2023-04-21T14:49:00Z</dcterms:modified>
</cp:coreProperties>
</file>